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rStyle w:val="a6"/>
          <w:sz w:val="30"/>
          <w:szCs w:val="30"/>
        </w:rPr>
        <w:t xml:space="preserve">4 сентября 2019 года Президентом Беларуси Александром Лукашенко подписан Указ № 327 "О повышении </w:t>
      </w:r>
      <w:proofErr w:type="spellStart"/>
      <w:r w:rsidRPr="00837344">
        <w:rPr>
          <w:rStyle w:val="a6"/>
          <w:sz w:val="30"/>
          <w:szCs w:val="30"/>
        </w:rPr>
        <w:t>энергоэффективности</w:t>
      </w:r>
      <w:proofErr w:type="spellEnd"/>
      <w:r w:rsidRPr="00837344">
        <w:rPr>
          <w:rStyle w:val="a6"/>
          <w:sz w:val="30"/>
          <w:szCs w:val="30"/>
        </w:rPr>
        <w:t xml:space="preserve"> многоквартирных жилых домов".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 xml:space="preserve">Указ предоставляет право собственникам заблаговременно, на стадии проектирования, дополнить перечень работ, проводимых в рамках капитального ремонта многоквартирного жилого дома, дополнительными </w:t>
      </w:r>
      <w:proofErr w:type="spellStart"/>
      <w:r w:rsidRPr="00837344">
        <w:rPr>
          <w:sz w:val="30"/>
          <w:szCs w:val="30"/>
        </w:rPr>
        <w:t>энергоэффективными</w:t>
      </w:r>
      <w:proofErr w:type="spellEnd"/>
      <w:r w:rsidRPr="00837344">
        <w:rPr>
          <w:sz w:val="30"/>
          <w:szCs w:val="30"/>
        </w:rPr>
        <w:t>, энергосберегающими мероприятиями, позволяющими сократить удельное теплопотребление дома не менее чем в два раза, а, соответственно,</w:t>
      </w:r>
      <w:r w:rsidR="00837344">
        <w:rPr>
          <w:sz w:val="30"/>
          <w:szCs w:val="30"/>
        </w:rPr>
        <w:t xml:space="preserve"> </w:t>
      </w:r>
      <w:r w:rsidRPr="00837344">
        <w:rPr>
          <w:sz w:val="30"/>
          <w:szCs w:val="30"/>
        </w:rPr>
        <w:t>сократить затраты на отопление и повысить потребительские характеристики таких домов.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 xml:space="preserve">Определены условия и механизмы участия собственников жилых и нежилых помещений в финансировании таких </w:t>
      </w:r>
      <w:proofErr w:type="spellStart"/>
      <w:r w:rsidRPr="00837344">
        <w:rPr>
          <w:sz w:val="30"/>
          <w:szCs w:val="30"/>
        </w:rPr>
        <w:t>энергоэффективных</w:t>
      </w:r>
      <w:proofErr w:type="spellEnd"/>
      <w:r w:rsidRPr="00837344">
        <w:rPr>
          <w:sz w:val="30"/>
          <w:szCs w:val="30"/>
        </w:rPr>
        <w:t xml:space="preserve"> мероприятий.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Согласно Указу, решение о проведении названных работ на добровольной основе принимает общее собрание участников совместного домовладения, если за него проголосовали собственники, обладающие более чем двумя третями голосов.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proofErr w:type="gramStart"/>
      <w:r w:rsidRPr="00837344">
        <w:rPr>
          <w:sz w:val="30"/>
          <w:szCs w:val="30"/>
        </w:rPr>
        <w:t>Указом также предусматривается создание предпосылок и условий для привлечения широкого круга источников финансирования, в том числе средств собственников жилья, местных бюджетов, иных источников, в том числе международных финансовых организаций (Всемирный банк, Европейский инвестиционный банк, Европейский банк реконструкции и развития и др.), сокращение объемов перекрестного субсидирования в сфере энергопотребления и другие меры по снижению удельного теплопотребления жилищного фонда.</w:t>
      </w:r>
      <w:proofErr w:type="gramEnd"/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 xml:space="preserve">Таким образом, получил «зеленый свет» предлагаемый ранее Проект по расширению устойчивого </w:t>
      </w:r>
      <w:proofErr w:type="spellStart"/>
      <w:r w:rsidRPr="00837344">
        <w:rPr>
          <w:sz w:val="30"/>
          <w:szCs w:val="30"/>
        </w:rPr>
        <w:t>энергопользования</w:t>
      </w:r>
      <w:proofErr w:type="spellEnd"/>
      <w:r w:rsidRPr="00837344">
        <w:rPr>
          <w:sz w:val="30"/>
          <w:szCs w:val="30"/>
        </w:rPr>
        <w:t xml:space="preserve"> (предположительная стоимость которого около 60 млн. евро) по реализации программы тепловой модернизации многоквартирных жилых зданий путем апробирования схемы субсидирования с частичным возмещением затрат населением в рассрочку.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proofErr w:type="gramStart"/>
      <w:r w:rsidRPr="00837344">
        <w:rPr>
          <w:sz w:val="30"/>
          <w:szCs w:val="30"/>
        </w:rPr>
        <w:t xml:space="preserve">В планируемом </w:t>
      </w:r>
      <w:proofErr w:type="spellStart"/>
      <w:r w:rsidRPr="00837344">
        <w:rPr>
          <w:sz w:val="30"/>
          <w:szCs w:val="30"/>
        </w:rPr>
        <w:t>пилотном</w:t>
      </w:r>
      <w:proofErr w:type="spellEnd"/>
      <w:r w:rsidRPr="00837344">
        <w:rPr>
          <w:sz w:val="30"/>
          <w:szCs w:val="30"/>
        </w:rPr>
        <w:t xml:space="preserve"> проекте по тепловой модернизации многоквартирных жилых домов в Гродненской и Могилевской областях, который будет финансироваться Всемирным банком и Европейским инвестиционным банком в рамках совместного проекта «Расширение устойчивого </w:t>
      </w:r>
      <w:proofErr w:type="spellStart"/>
      <w:r w:rsidRPr="00837344">
        <w:rPr>
          <w:sz w:val="30"/>
          <w:szCs w:val="30"/>
        </w:rPr>
        <w:t>энергопользования</w:t>
      </w:r>
      <w:proofErr w:type="spellEnd"/>
      <w:r w:rsidRPr="00837344">
        <w:rPr>
          <w:sz w:val="30"/>
          <w:szCs w:val="30"/>
        </w:rPr>
        <w:t>», предусмотрены два варианта тепловой модернизации:</w:t>
      </w:r>
      <w:proofErr w:type="gramEnd"/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proofErr w:type="gramStart"/>
      <w:r w:rsidRPr="00837344">
        <w:rPr>
          <w:sz w:val="30"/>
          <w:szCs w:val="30"/>
        </w:rPr>
        <w:lastRenderedPageBreak/>
        <w:t>- Пакет A (частичная модернизация) может включать меры для предполагаемой государственной субсидии до 50%. Пакет мер предполагает ограниченный комплекс мер тепловой модернизации, включая устройство тепловых пунктов, установку термостатических регуляторов в квартирах, обновление входных дверей и окон в подъездах, а также другие относительно недорогие меры.</w:t>
      </w:r>
      <w:proofErr w:type="gramEnd"/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- Пакет B (комплексная модернизация) может включать меры для предполагаемой государственной субсидии до 50%. В дополнение к объему работ в рамках пакета</w:t>
      </w:r>
      <w:proofErr w:type="gramStart"/>
      <w:r w:rsidRPr="00837344">
        <w:rPr>
          <w:sz w:val="30"/>
          <w:szCs w:val="30"/>
        </w:rPr>
        <w:t xml:space="preserve"> А</w:t>
      </w:r>
      <w:proofErr w:type="gramEnd"/>
      <w:r w:rsidRPr="00837344">
        <w:rPr>
          <w:sz w:val="30"/>
          <w:szCs w:val="30"/>
        </w:rPr>
        <w:t>, он обычно включает обновление окон в квартирах, теплоизоляцию крыши, наружных стен и подвала.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В оба пакета в качестве возможного варианта для собственников жилья будут включены установка индивидуальных приборов учета тепловой энергии и внедрение системы начисления платы за отопление по факту потребления на поквартирном уровне.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Финансирование реализации мероприятий на первоначальном этапе будет осуществляться за счет средств местных бюджетов и привлекаемых средств. Собственники будут ежемесячно</w:t>
      </w:r>
      <w:r w:rsidR="00837344">
        <w:rPr>
          <w:sz w:val="30"/>
          <w:szCs w:val="30"/>
        </w:rPr>
        <w:t xml:space="preserve"> </w:t>
      </w:r>
      <w:r w:rsidRPr="00837344">
        <w:rPr>
          <w:sz w:val="30"/>
          <w:szCs w:val="30"/>
        </w:rPr>
        <w:t>равными долями</w:t>
      </w:r>
      <w:r w:rsidR="00837344">
        <w:rPr>
          <w:sz w:val="30"/>
          <w:szCs w:val="30"/>
        </w:rPr>
        <w:t xml:space="preserve"> </w:t>
      </w:r>
      <w:r w:rsidRPr="00837344">
        <w:rPr>
          <w:sz w:val="30"/>
          <w:szCs w:val="30"/>
        </w:rPr>
        <w:t xml:space="preserve">возмещать часть затрат (но не менее 50% от размера затрат) только после завершения работ по повышению </w:t>
      </w:r>
      <w:proofErr w:type="spellStart"/>
      <w:r w:rsidRPr="00837344">
        <w:rPr>
          <w:sz w:val="30"/>
          <w:szCs w:val="30"/>
        </w:rPr>
        <w:t>энергоэффективности</w:t>
      </w:r>
      <w:proofErr w:type="spellEnd"/>
      <w:r w:rsidRPr="00837344">
        <w:rPr>
          <w:sz w:val="30"/>
          <w:szCs w:val="30"/>
        </w:rPr>
        <w:t xml:space="preserve"> домов, в течение 10-15 лет с даты подписания последнего акта приемки выполненных строительных и иных специальных работ по реализации </w:t>
      </w:r>
      <w:proofErr w:type="spellStart"/>
      <w:r w:rsidRPr="00837344">
        <w:rPr>
          <w:sz w:val="30"/>
          <w:szCs w:val="30"/>
        </w:rPr>
        <w:t>энергоэффективных</w:t>
      </w:r>
      <w:proofErr w:type="spellEnd"/>
      <w:r w:rsidRPr="00837344">
        <w:rPr>
          <w:sz w:val="30"/>
          <w:szCs w:val="30"/>
        </w:rPr>
        <w:t xml:space="preserve"> мероприятий. Размер возмещения будет определяться пропорционально доле каждого собственника в общей площади жилых и (или) нежилых помещений.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Указом установлен порядок такого возмещения: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- для собственников нежилых помещений, встроенных в многоквартирные жилые дома, - в полном размере ежемесячно равными долями в течение 3 лет;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- для владельцев жилых помещений - в размере не менее 50% от затрат ежемесячно равными долями в течение 10 лет.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Местным исполнительным и распорядительным органам предоставлено право продлевать до 15 лет срок возмещения затрат социально уязвимыми и малообеспеченными гражданами.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 xml:space="preserve">Размер ежемесячных платежей собственников жилых помещений, членов организаций застройщиков предполагается установить фиксированным на десятилетний период, например, из расчета одной базовой величины на семью из трех человек, проживающую в </w:t>
      </w:r>
      <w:r w:rsidRPr="00837344">
        <w:rPr>
          <w:sz w:val="30"/>
          <w:szCs w:val="30"/>
        </w:rPr>
        <w:lastRenderedPageBreak/>
        <w:t>двухкомнатной квартире общей площадью 48 кв. метров, что в настоящее время составляет 25,5 рубля (или около 53 коп</w:t>
      </w:r>
      <w:proofErr w:type="gramStart"/>
      <w:r w:rsidRPr="00837344">
        <w:rPr>
          <w:sz w:val="30"/>
          <w:szCs w:val="30"/>
        </w:rPr>
        <w:t>.</w:t>
      </w:r>
      <w:proofErr w:type="gramEnd"/>
      <w:r w:rsidRPr="00837344">
        <w:rPr>
          <w:sz w:val="30"/>
          <w:szCs w:val="30"/>
        </w:rPr>
        <w:t xml:space="preserve"> </w:t>
      </w:r>
      <w:proofErr w:type="gramStart"/>
      <w:r w:rsidRPr="00837344">
        <w:rPr>
          <w:sz w:val="30"/>
          <w:szCs w:val="30"/>
        </w:rPr>
        <w:t>н</w:t>
      </w:r>
      <w:proofErr w:type="gramEnd"/>
      <w:r w:rsidRPr="00837344">
        <w:rPr>
          <w:sz w:val="30"/>
          <w:szCs w:val="30"/>
        </w:rPr>
        <w:t>а 1 кв. м общей площади) в месяц.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>Учитывая, что если сейчас население оплачивает порядка 20% себестоимости тепловой энергии, то с каждым годом этот процент будет повышаться. И те возможности, которые государство даст сегодня в виде рассрочки (беспроцентного кредита) на 10 лет, не учитывают вероятную инфляцию. Таким образом, средства, которые собственник вложит изначально, окупятся с лихвой. Вопрос экономии очевиден, как цифры на калькуляторе.</w:t>
      </w:r>
    </w:p>
    <w:p w:rsidR="006636BD" w:rsidRPr="00837344" w:rsidRDefault="006636BD" w:rsidP="00837344">
      <w:pPr>
        <w:pStyle w:val="a4"/>
        <w:ind w:firstLine="709"/>
        <w:jc w:val="both"/>
        <w:rPr>
          <w:sz w:val="30"/>
          <w:szCs w:val="30"/>
        </w:rPr>
      </w:pPr>
      <w:r w:rsidRPr="00837344">
        <w:rPr>
          <w:sz w:val="30"/>
          <w:szCs w:val="30"/>
        </w:rPr>
        <w:t xml:space="preserve">Экономия денежных средств на приобретение тепловой энергии полностью возместит жильцам понесенные затраты на </w:t>
      </w:r>
      <w:proofErr w:type="spellStart"/>
      <w:r w:rsidRPr="00837344">
        <w:rPr>
          <w:sz w:val="30"/>
          <w:szCs w:val="30"/>
        </w:rPr>
        <w:t>тепломодернизацию</w:t>
      </w:r>
      <w:proofErr w:type="spellEnd"/>
      <w:r w:rsidRPr="00837344">
        <w:rPr>
          <w:sz w:val="30"/>
          <w:szCs w:val="30"/>
        </w:rPr>
        <w:t xml:space="preserve"> уже в течение 10-летнего периода погашения. Далее жилищно-коммунальные расходы значительно сократятся, и жильцы получат существенную экономию финансовых средств.</w:t>
      </w:r>
    </w:p>
    <w:p w:rsidR="006636BD" w:rsidRPr="00837344" w:rsidRDefault="006636BD" w:rsidP="00837344">
      <w:pPr>
        <w:pStyle w:val="a4"/>
        <w:ind w:firstLine="709"/>
        <w:rPr>
          <w:sz w:val="30"/>
          <w:szCs w:val="30"/>
        </w:rPr>
      </w:pPr>
      <w:r w:rsidRPr="00837344">
        <w:rPr>
          <w:sz w:val="30"/>
          <w:szCs w:val="30"/>
        </w:rPr>
        <w:t> </w:t>
      </w:r>
    </w:p>
    <w:p w:rsidR="00C37392" w:rsidRPr="00837344" w:rsidRDefault="00C37392" w:rsidP="00837344">
      <w:pPr>
        <w:ind w:firstLine="709"/>
        <w:jc w:val="both"/>
      </w:pPr>
    </w:p>
    <w:sectPr w:rsidR="00C37392" w:rsidRPr="00837344" w:rsidSect="00B61A8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138"/>
    <w:multiLevelType w:val="multilevel"/>
    <w:tmpl w:val="ACA0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235F8"/>
    <w:multiLevelType w:val="hybridMultilevel"/>
    <w:tmpl w:val="F77ABD28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6219"/>
    <w:rsid w:val="0001527F"/>
    <w:rsid w:val="00016000"/>
    <w:rsid w:val="0002585A"/>
    <w:rsid w:val="00036E58"/>
    <w:rsid w:val="0008434F"/>
    <w:rsid w:val="0009120D"/>
    <w:rsid w:val="000C271A"/>
    <w:rsid w:val="000C4771"/>
    <w:rsid w:val="000D1D0D"/>
    <w:rsid w:val="000D6D86"/>
    <w:rsid w:val="001154E8"/>
    <w:rsid w:val="001265F6"/>
    <w:rsid w:val="001431E4"/>
    <w:rsid w:val="001462CD"/>
    <w:rsid w:val="00152E4D"/>
    <w:rsid w:val="00166219"/>
    <w:rsid w:val="00173FA4"/>
    <w:rsid w:val="001B032C"/>
    <w:rsid w:val="001C479D"/>
    <w:rsid w:val="001F06D6"/>
    <w:rsid w:val="00201392"/>
    <w:rsid w:val="0020246C"/>
    <w:rsid w:val="0020288F"/>
    <w:rsid w:val="00237A1C"/>
    <w:rsid w:val="00254A98"/>
    <w:rsid w:val="0026188B"/>
    <w:rsid w:val="00262EE5"/>
    <w:rsid w:val="002851BB"/>
    <w:rsid w:val="002A4F75"/>
    <w:rsid w:val="002B3892"/>
    <w:rsid w:val="002E047C"/>
    <w:rsid w:val="002F0DCE"/>
    <w:rsid w:val="002F3AD0"/>
    <w:rsid w:val="0030660F"/>
    <w:rsid w:val="00307E67"/>
    <w:rsid w:val="00317051"/>
    <w:rsid w:val="003222FF"/>
    <w:rsid w:val="0032611A"/>
    <w:rsid w:val="003266B9"/>
    <w:rsid w:val="00332798"/>
    <w:rsid w:val="00340E14"/>
    <w:rsid w:val="00374CAF"/>
    <w:rsid w:val="00382F78"/>
    <w:rsid w:val="00396557"/>
    <w:rsid w:val="003B38B4"/>
    <w:rsid w:val="003C1C1E"/>
    <w:rsid w:val="003C61EB"/>
    <w:rsid w:val="003F6D4B"/>
    <w:rsid w:val="004078A7"/>
    <w:rsid w:val="00431BDB"/>
    <w:rsid w:val="00443622"/>
    <w:rsid w:val="00470A06"/>
    <w:rsid w:val="00484EF2"/>
    <w:rsid w:val="004A4944"/>
    <w:rsid w:val="004C1E64"/>
    <w:rsid w:val="004C213C"/>
    <w:rsid w:val="004C7BF5"/>
    <w:rsid w:val="004E1501"/>
    <w:rsid w:val="004F18C3"/>
    <w:rsid w:val="004F2E92"/>
    <w:rsid w:val="004F43E3"/>
    <w:rsid w:val="004F5E33"/>
    <w:rsid w:val="00513B94"/>
    <w:rsid w:val="005303DC"/>
    <w:rsid w:val="00544E6A"/>
    <w:rsid w:val="0055702F"/>
    <w:rsid w:val="00560672"/>
    <w:rsid w:val="00570117"/>
    <w:rsid w:val="005824AF"/>
    <w:rsid w:val="00586BC5"/>
    <w:rsid w:val="005902A4"/>
    <w:rsid w:val="00590C66"/>
    <w:rsid w:val="005B1F97"/>
    <w:rsid w:val="005C5F42"/>
    <w:rsid w:val="005D598C"/>
    <w:rsid w:val="005F39D7"/>
    <w:rsid w:val="006066FC"/>
    <w:rsid w:val="00640A73"/>
    <w:rsid w:val="00653B36"/>
    <w:rsid w:val="006564C1"/>
    <w:rsid w:val="0065767D"/>
    <w:rsid w:val="00661F40"/>
    <w:rsid w:val="006636BD"/>
    <w:rsid w:val="006828A5"/>
    <w:rsid w:val="006B200F"/>
    <w:rsid w:val="006E632C"/>
    <w:rsid w:val="00700D4C"/>
    <w:rsid w:val="007114EE"/>
    <w:rsid w:val="007124E9"/>
    <w:rsid w:val="00731FDD"/>
    <w:rsid w:val="00743F79"/>
    <w:rsid w:val="00761A28"/>
    <w:rsid w:val="00785B38"/>
    <w:rsid w:val="007973D2"/>
    <w:rsid w:val="007A4F65"/>
    <w:rsid w:val="007A7C1D"/>
    <w:rsid w:val="007B10F9"/>
    <w:rsid w:val="007B63DD"/>
    <w:rsid w:val="007C387E"/>
    <w:rsid w:val="007D082E"/>
    <w:rsid w:val="007D7428"/>
    <w:rsid w:val="007E4620"/>
    <w:rsid w:val="007F0C9B"/>
    <w:rsid w:val="007F1F4E"/>
    <w:rsid w:val="00803C17"/>
    <w:rsid w:val="00807BA3"/>
    <w:rsid w:val="008151C7"/>
    <w:rsid w:val="008204B2"/>
    <w:rsid w:val="00824E35"/>
    <w:rsid w:val="00825930"/>
    <w:rsid w:val="00827331"/>
    <w:rsid w:val="00837344"/>
    <w:rsid w:val="00844179"/>
    <w:rsid w:val="0084547C"/>
    <w:rsid w:val="00856688"/>
    <w:rsid w:val="00862D5F"/>
    <w:rsid w:val="008813BD"/>
    <w:rsid w:val="0089338E"/>
    <w:rsid w:val="008A5F0A"/>
    <w:rsid w:val="008B022C"/>
    <w:rsid w:val="008B042D"/>
    <w:rsid w:val="008B24D0"/>
    <w:rsid w:val="008B34A0"/>
    <w:rsid w:val="008B4568"/>
    <w:rsid w:val="008B5448"/>
    <w:rsid w:val="008B5946"/>
    <w:rsid w:val="008C038B"/>
    <w:rsid w:val="008C03F9"/>
    <w:rsid w:val="008C122A"/>
    <w:rsid w:val="00907B69"/>
    <w:rsid w:val="00912092"/>
    <w:rsid w:val="00917AF8"/>
    <w:rsid w:val="00920750"/>
    <w:rsid w:val="009321B3"/>
    <w:rsid w:val="00933381"/>
    <w:rsid w:val="009872CB"/>
    <w:rsid w:val="00A51F2B"/>
    <w:rsid w:val="00A60261"/>
    <w:rsid w:val="00A61095"/>
    <w:rsid w:val="00A71468"/>
    <w:rsid w:val="00A7156C"/>
    <w:rsid w:val="00A86720"/>
    <w:rsid w:val="00AE1D96"/>
    <w:rsid w:val="00B01295"/>
    <w:rsid w:val="00B03DC6"/>
    <w:rsid w:val="00B1178E"/>
    <w:rsid w:val="00B42924"/>
    <w:rsid w:val="00B44985"/>
    <w:rsid w:val="00B50EF3"/>
    <w:rsid w:val="00B56B1D"/>
    <w:rsid w:val="00B61A84"/>
    <w:rsid w:val="00B73E2A"/>
    <w:rsid w:val="00B82E27"/>
    <w:rsid w:val="00B84E50"/>
    <w:rsid w:val="00B973A6"/>
    <w:rsid w:val="00BC0044"/>
    <w:rsid w:val="00BC6F57"/>
    <w:rsid w:val="00BF248C"/>
    <w:rsid w:val="00C06D22"/>
    <w:rsid w:val="00C349D5"/>
    <w:rsid w:val="00C36975"/>
    <w:rsid w:val="00C37392"/>
    <w:rsid w:val="00C572C4"/>
    <w:rsid w:val="00C60850"/>
    <w:rsid w:val="00C92017"/>
    <w:rsid w:val="00CA2701"/>
    <w:rsid w:val="00CA7208"/>
    <w:rsid w:val="00CC1F71"/>
    <w:rsid w:val="00CC2DB3"/>
    <w:rsid w:val="00CE1B26"/>
    <w:rsid w:val="00D37E53"/>
    <w:rsid w:val="00D41D86"/>
    <w:rsid w:val="00D51082"/>
    <w:rsid w:val="00D61CBF"/>
    <w:rsid w:val="00D62EEA"/>
    <w:rsid w:val="00D84077"/>
    <w:rsid w:val="00D86678"/>
    <w:rsid w:val="00D94DDB"/>
    <w:rsid w:val="00DB5ED5"/>
    <w:rsid w:val="00DD3F6B"/>
    <w:rsid w:val="00DF32FA"/>
    <w:rsid w:val="00E00B00"/>
    <w:rsid w:val="00E10E28"/>
    <w:rsid w:val="00E1388C"/>
    <w:rsid w:val="00E1421E"/>
    <w:rsid w:val="00E61FF7"/>
    <w:rsid w:val="00E70827"/>
    <w:rsid w:val="00E71001"/>
    <w:rsid w:val="00E83D81"/>
    <w:rsid w:val="00E87023"/>
    <w:rsid w:val="00EA2486"/>
    <w:rsid w:val="00EA3C5C"/>
    <w:rsid w:val="00EC42FD"/>
    <w:rsid w:val="00EF7AC5"/>
    <w:rsid w:val="00F21BB4"/>
    <w:rsid w:val="00F32DAD"/>
    <w:rsid w:val="00F452C8"/>
    <w:rsid w:val="00F47B1F"/>
    <w:rsid w:val="00F639B9"/>
    <w:rsid w:val="00F7296A"/>
    <w:rsid w:val="00F872B7"/>
    <w:rsid w:val="00F949A7"/>
    <w:rsid w:val="00FC2B7D"/>
    <w:rsid w:val="00FD2378"/>
    <w:rsid w:val="00FD5130"/>
    <w:rsid w:val="00FD6A84"/>
    <w:rsid w:val="00FE1EDE"/>
    <w:rsid w:val="00FE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19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78A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8C03F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636BD"/>
    <w:rPr>
      <w:color w:val="0000FF"/>
      <w:u w:val="single"/>
    </w:rPr>
  </w:style>
  <w:style w:type="character" w:styleId="a6">
    <w:name w:val="Strong"/>
    <w:basedOn w:val="a0"/>
    <w:uiPriority w:val="22"/>
    <w:qFormat/>
    <w:rsid w:val="00663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2F1A-5931-4CD8-A5CD-1F0F644A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ГАРАДОЦКІ РАЁННЫ</vt:lpstr>
    </vt:vector>
  </TitlesOfParts>
  <Company>home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ГАРАДОЦКІ РАЁННЫ</dc:title>
  <dc:subject/>
  <dc:creator>Administrator</dc:creator>
  <cp:keywords/>
  <dc:description/>
  <cp:lastModifiedBy>ЖКХ</cp:lastModifiedBy>
  <cp:revision>2</cp:revision>
  <cp:lastPrinted>2019-10-01T09:11:00Z</cp:lastPrinted>
  <dcterms:created xsi:type="dcterms:W3CDTF">2019-10-02T12:57:00Z</dcterms:created>
  <dcterms:modified xsi:type="dcterms:W3CDTF">2019-10-02T12:57:00Z</dcterms:modified>
</cp:coreProperties>
</file>