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064" w:rsidRPr="00436064" w:rsidRDefault="00436064" w:rsidP="00436064">
      <w:pPr>
        <w:pStyle w:val="1"/>
        <w:ind w:right="-1"/>
        <w:rPr>
          <w:b/>
          <w:sz w:val="28"/>
          <w:szCs w:val="30"/>
        </w:rPr>
      </w:pPr>
      <w:r w:rsidRPr="00436064">
        <w:rPr>
          <w:b/>
          <w:noProof/>
          <w:sz w:val="28"/>
          <w:szCs w:val="30"/>
        </w:rPr>
        <w:drawing>
          <wp:anchor distT="0" distB="0" distL="114300" distR="114300" simplePos="0" relativeHeight="251660288" behindDoc="0" locked="0" layoutInCell="1" allowOverlap="1">
            <wp:simplePos x="0" y="0"/>
            <wp:positionH relativeFrom="column">
              <wp:posOffset>2453640</wp:posOffset>
            </wp:positionH>
            <wp:positionV relativeFrom="paragraph">
              <wp:posOffset>-567690</wp:posOffset>
            </wp:positionV>
            <wp:extent cx="695325" cy="704850"/>
            <wp:effectExtent l="19050" t="0" r="9525" b="0"/>
            <wp:wrapNone/>
            <wp:docPr id="2" name="Рисунок 3" descr="Gerb_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RB"/>
                    <pic:cNvPicPr>
                      <a:picLocks noChangeAspect="1" noChangeArrowheads="1"/>
                    </pic:cNvPicPr>
                  </pic:nvPicPr>
                  <pic:blipFill>
                    <a:blip r:embed="rId6" cstate="print"/>
                    <a:srcRect/>
                    <a:stretch>
                      <a:fillRect/>
                    </a:stretch>
                  </pic:blipFill>
                  <pic:spPr bwMode="auto">
                    <a:xfrm>
                      <a:off x="0" y="0"/>
                      <a:ext cx="695325" cy="704850"/>
                    </a:xfrm>
                    <a:prstGeom prst="rect">
                      <a:avLst/>
                    </a:prstGeom>
                    <a:noFill/>
                    <a:ln w="9525">
                      <a:noFill/>
                      <a:miter lim="800000"/>
                      <a:headEnd/>
                      <a:tailEnd/>
                    </a:ln>
                  </pic:spPr>
                </pic:pic>
              </a:graphicData>
            </a:graphic>
          </wp:anchor>
        </w:drawing>
      </w:r>
      <w:r w:rsidRPr="00436064">
        <w:rPr>
          <w:b/>
          <w:sz w:val="28"/>
          <w:szCs w:val="30"/>
        </w:rPr>
        <w:t>ГАРАДОЦКІ   РАЁННЫ</w:t>
      </w:r>
      <w:r w:rsidRPr="00436064">
        <w:rPr>
          <w:b/>
          <w:sz w:val="28"/>
          <w:szCs w:val="30"/>
        </w:rPr>
        <w:tab/>
        <w:t xml:space="preserve">                    ГОРОДОКСКИЙ РАЙОННЫЙ </w:t>
      </w:r>
    </w:p>
    <w:p w:rsidR="00436064" w:rsidRPr="00436064" w:rsidRDefault="00436064" w:rsidP="00436064">
      <w:pPr>
        <w:pStyle w:val="a3"/>
        <w:tabs>
          <w:tab w:val="clear" w:pos="4677"/>
          <w:tab w:val="left" w:pos="374"/>
        </w:tabs>
        <w:ind w:right="-1"/>
        <w:rPr>
          <w:rFonts w:ascii="Times New Roman" w:eastAsia="Times New Roman" w:hAnsi="Times New Roman" w:cs="Times New Roman"/>
          <w:b/>
          <w:sz w:val="28"/>
          <w:szCs w:val="30"/>
          <w:lang w:eastAsia="ru-RU"/>
        </w:rPr>
      </w:pPr>
      <w:r w:rsidRPr="00436064">
        <w:rPr>
          <w:rFonts w:ascii="Times New Roman" w:eastAsia="Times New Roman" w:hAnsi="Times New Roman" w:cs="Times New Roman"/>
          <w:b/>
          <w:sz w:val="28"/>
          <w:szCs w:val="30"/>
          <w:lang w:eastAsia="ru-RU"/>
        </w:rPr>
        <w:t xml:space="preserve">   САВЕТ ДЭПУТАТАУ                                        СОВЕТ ДЕПУТАТОВ</w:t>
      </w:r>
    </w:p>
    <w:p w:rsidR="00436064" w:rsidRPr="00436064" w:rsidRDefault="00436064" w:rsidP="00436064">
      <w:pPr>
        <w:tabs>
          <w:tab w:val="left" w:pos="6675"/>
        </w:tabs>
        <w:spacing w:after="0" w:line="240" w:lineRule="auto"/>
        <w:ind w:right="-1"/>
        <w:rPr>
          <w:rFonts w:ascii="Times New Roman" w:eastAsia="Times New Roman" w:hAnsi="Times New Roman" w:cs="Times New Roman"/>
          <w:b/>
          <w:sz w:val="30"/>
          <w:szCs w:val="30"/>
          <w:lang w:eastAsia="ru-RU"/>
        </w:rPr>
      </w:pPr>
      <w:r w:rsidRPr="00436064">
        <w:rPr>
          <w:rFonts w:ascii="Times New Roman" w:eastAsia="Times New Roman" w:hAnsi="Times New Roman" w:cs="Times New Roman"/>
          <w:b/>
          <w:sz w:val="30"/>
          <w:szCs w:val="30"/>
          <w:lang w:eastAsia="ru-RU"/>
        </w:rPr>
        <w:t xml:space="preserve">      </w:t>
      </w:r>
    </w:p>
    <w:p w:rsidR="00436064" w:rsidRPr="003B4250" w:rsidRDefault="00436064" w:rsidP="00436064">
      <w:pPr>
        <w:tabs>
          <w:tab w:val="left" w:pos="6675"/>
        </w:tabs>
        <w:spacing w:after="0" w:line="240" w:lineRule="auto"/>
        <w:ind w:right="-1"/>
        <w:rPr>
          <w:sz w:val="30"/>
          <w:szCs w:val="30"/>
        </w:rPr>
      </w:pPr>
      <w:r w:rsidRPr="003B4250">
        <w:rPr>
          <w:sz w:val="30"/>
          <w:szCs w:val="30"/>
        </w:rPr>
        <w:t xml:space="preserve">          </w:t>
      </w:r>
      <w:r w:rsidRPr="00436064">
        <w:rPr>
          <w:rFonts w:ascii="Times New Roman" w:eastAsia="Times New Roman" w:hAnsi="Times New Roman" w:cs="Times New Roman"/>
          <w:sz w:val="30"/>
          <w:szCs w:val="30"/>
          <w:lang w:eastAsia="ru-RU"/>
        </w:rPr>
        <w:t>РАШЭННЕ                                                                  РЕШЕНИЕ</w:t>
      </w:r>
    </w:p>
    <w:p w:rsidR="00436064" w:rsidRPr="003B4250" w:rsidRDefault="00436064" w:rsidP="00436064">
      <w:pPr>
        <w:ind w:right="-1"/>
        <w:rPr>
          <w:sz w:val="4"/>
          <w:szCs w:val="4"/>
        </w:rPr>
      </w:pPr>
    </w:p>
    <w:p w:rsidR="00436064" w:rsidRPr="00436064" w:rsidRDefault="00436064" w:rsidP="00436064">
      <w:pPr>
        <w:spacing w:after="0" w:line="240" w:lineRule="auto"/>
        <w:ind w:right="-1"/>
        <w:rPr>
          <w:rFonts w:ascii="Times New Roman" w:eastAsia="Times New Roman" w:hAnsi="Times New Roman" w:cs="Times New Roman"/>
          <w:sz w:val="30"/>
          <w:szCs w:val="30"/>
          <w:lang w:eastAsia="ru-RU"/>
        </w:rPr>
      </w:pPr>
      <w:r w:rsidRPr="003B4250">
        <w:rPr>
          <w:sz w:val="30"/>
          <w:szCs w:val="30"/>
        </w:rPr>
        <w:t xml:space="preserve"> </w:t>
      </w:r>
      <w:r w:rsidRPr="00436064">
        <w:rPr>
          <w:rFonts w:ascii="Times New Roman" w:eastAsia="Times New Roman" w:hAnsi="Times New Roman" w:cs="Times New Roman"/>
          <w:sz w:val="30"/>
          <w:szCs w:val="30"/>
          <w:lang w:eastAsia="ru-RU"/>
        </w:rPr>
        <w:t>27  марта  2020 г. №  10</w:t>
      </w:r>
      <w:r>
        <w:rPr>
          <w:rFonts w:ascii="Times New Roman" w:eastAsia="Times New Roman" w:hAnsi="Times New Roman" w:cs="Times New Roman"/>
          <w:sz w:val="30"/>
          <w:szCs w:val="30"/>
          <w:lang w:eastAsia="ru-RU"/>
        </w:rPr>
        <w:t>9</w:t>
      </w:r>
      <w:r w:rsidRPr="00436064">
        <w:rPr>
          <w:rFonts w:ascii="Times New Roman" w:eastAsia="Times New Roman" w:hAnsi="Times New Roman" w:cs="Times New Roman"/>
          <w:sz w:val="30"/>
          <w:szCs w:val="30"/>
          <w:lang w:eastAsia="ru-RU"/>
        </w:rPr>
        <w:t xml:space="preserve">  </w:t>
      </w:r>
    </w:p>
    <w:p w:rsidR="00436064" w:rsidRPr="00436064" w:rsidRDefault="00436064" w:rsidP="00436064">
      <w:pPr>
        <w:ind w:right="-1"/>
        <w:rPr>
          <w:rFonts w:ascii="Times New Roman" w:eastAsia="Times New Roman" w:hAnsi="Times New Roman" w:cs="Times New Roman"/>
          <w:sz w:val="30"/>
          <w:szCs w:val="30"/>
          <w:lang w:eastAsia="ru-RU"/>
        </w:rPr>
      </w:pPr>
      <w:r w:rsidRPr="00436064">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   </w:t>
      </w:r>
      <w:r w:rsidRPr="00436064">
        <w:rPr>
          <w:rFonts w:ascii="Times New Roman" w:eastAsia="Times New Roman" w:hAnsi="Times New Roman" w:cs="Times New Roman"/>
          <w:sz w:val="30"/>
          <w:szCs w:val="30"/>
          <w:lang w:eastAsia="ru-RU"/>
        </w:rPr>
        <w:t xml:space="preserve"> г. Гарадок                                                             </w:t>
      </w:r>
      <w:r>
        <w:rPr>
          <w:rFonts w:ascii="Times New Roman" w:eastAsia="Times New Roman" w:hAnsi="Times New Roman" w:cs="Times New Roman"/>
          <w:sz w:val="30"/>
          <w:szCs w:val="30"/>
          <w:lang w:eastAsia="ru-RU"/>
        </w:rPr>
        <w:t xml:space="preserve">      </w:t>
      </w:r>
      <w:r w:rsidRPr="00436064">
        <w:rPr>
          <w:rFonts w:ascii="Times New Roman" w:eastAsia="Times New Roman" w:hAnsi="Times New Roman" w:cs="Times New Roman"/>
          <w:sz w:val="30"/>
          <w:szCs w:val="30"/>
          <w:lang w:eastAsia="ru-RU"/>
        </w:rPr>
        <w:t xml:space="preserve"> г. Городок</w:t>
      </w:r>
    </w:p>
    <w:p w:rsidR="00A232E6" w:rsidRDefault="00A232E6" w:rsidP="00436064">
      <w:pPr>
        <w:spacing w:after="0" w:line="280" w:lineRule="exact"/>
        <w:ind w:right="4821"/>
        <w:rPr>
          <w:rFonts w:ascii="Times New Roman" w:eastAsia="Times New Roman" w:hAnsi="Times New Roman" w:cs="Times New Roman"/>
          <w:sz w:val="30"/>
          <w:szCs w:val="30"/>
          <w:lang w:eastAsia="ru-RU"/>
        </w:rPr>
      </w:pPr>
      <w:r w:rsidRPr="00436064">
        <w:rPr>
          <w:rFonts w:ascii="Times New Roman" w:eastAsia="Times New Roman" w:hAnsi="Times New Roman" w:cs="Times New Roman"/>
          <w:sz w:val="30"/>
          <w:szCs w:val="30"/>
          <w:lang w:eastAsia="ru-RU"/>
        </w:rPr>
        <w:t>Об изменении решения Городокского районного Совета депутатов от 25 мая 2015 г. № 61</w:t>
      </w:r>
    </w:p>
    <w:p w:rsidR="00436064" w:rsidRPr="00436064" w:rsidRDefault="00436064" w:rsidP="00436064">
      <w:pPr>
        <w:spacing w:after="0" w:line="280" w:lineRule="exact"/>
        <w:ind w:right="4821"/>
        <w:rPr>
          <w:rFonts w:ascii="Times New Roman" w:eastAsia="Times New Roman" w:hAnsi="Times New Roman" w:cs="Times New Roman"/>
          <w:sz w:val="30"/>
          <w:szCs w:val="30"/>
          <w:lang w:eastAsia="ru-RU"/>
        </w:rPr>
      </w:pPr>
    </w:p>
    <w:p w:rsidR="00A232E6" w:rsidRPr="00436064" w:rsidRDefault="00A232E6">
      <w:pPr>
        <w:pStyle w:val="preamble"/>
        <w:rPr>
          <w:rFonts w:eastAsia="Times New Roman"/>
          <w:sz w:val="30"/>
          <w:szCs w:val="30"/>
        </w:rPr>
      </w:pPr>
      <w:r w:rsidRPr="00436064">
        <w:rPr>
          <w:rFonts w:eastAsia="Times New Roman"/>
          <w:sz w:val="30"/>
          <w:szCs w:val="30"/>
        </w:rPr>
        <w:t>На основании пункта 1 статьи 13 Закона Республики Беларусь от 4 января 2010 г. № 108-З «О местном управлении и самоуправлении в Республике Беларусь», части первой пункта 51 постановления Совета Министров Республики Беларусь от 15 марта 2012 г. № 229 «О совершенствовании отношений в области закупок товаров (работ, услуг) за счет собственных средств» Городокский районный Совет депутатов РЕШИЛ:</w:t>
      </w:r>
    </w:p>
    <w:p w:rsidR="00A232E6" w:rsidRPr="00436064" w:rsidRDefault="00A232E6">
      <w:pPr>
        <w:pStyle w:val="point"/>
        <w:rPr>
          <w:rFonts w:eastAsia="Times New Roman"/>
          <w:sz w:val="30"/>
          <w:szCs w:val="30"/>
        </w:rPr>
      </w:pPr>
      <w:r w:rsidRPr="00436064">
        <w:rPr>
          <w:rFonts w:eastAsia="Times New Roman"/>
          <w:sz w:val="30"/>
          <w:szCs w:val="30"/>
        </w:rPr>
        <w:t>1. Внести в решение Городокского районного Совета депутатов от 25 мая 2015 г. № 61 «Об определении порядка осуществления закупок товаров (работ, услуг) за счет собственных средств» следующие изменения:</w:t>
      </w:r>
    </w:p>
    <w:p w:rsidR="00A232E6" w:rsidRPr="00436064" w:rsidRDefault="00A232E6">
      <w:pPr>
        <w:pStyle w:val="underpoint"/>
        <w:rPr>
          <w:rFonts w:eastAsia="Times New Roman"/>
          <w:sz w:val="30"/>
          <w:szCs w:val="30"/>
        </w:rPr>
      </w:pPr>
      <w:r w:rsidRPr="00436064">
        <w:rPr>
          <w:rFonts w:eastAsia="Times New Roman"/>
          <w:sz w:val="30"/>
          <w:szCs w:val="30"/>
        </w:rPr>
        <w:t>1.1. в пункте 1:</w:t>
      </w:r>
    </w:p>
    <w:p w:rsidR="00A232E6" w:rsidRPr="00436064" w:rsidRDefault="00A232E6">
      <w:pPr>
        <w:pStyle w:val="newncpi"/>
        <w:rPr>
          <w:rFonts w:eastAsia="Times New Roman"/>
          <w:sz w:val="30"/>
          <w:szCs w:val="30"/>
        </w:rPr>
      </w:pPr>
      <w:r w:rsidRPr="00436064">
        <w:rPr>
          <w:rFonts w:eastAsia="Times New Roman"/>
          <w:sz w:val="30"/>
          <w:szCs w:val="30"/>
        </w:rPr>
        <w:t>дополнить пункт подпунктом 1.11 следующего содержания:</w:t>
      </w:r>
    </w:p>
    <w:p w:rsidR="00A232E6" w:rsidRPr="00436064" w:rsidRDefault="00A232E6">
      <w:pPr>
        <w:pStyle w:val="underpoint"/>
        <w:rPr>
          <w:rFonts w:eastAsia="Times New Roman"/>
          <w:sz w:val="30"/>
          <w:szCs w:val="30"/>
        </w:rPr>
      </w:pPr>
      <w:r w:rsidRPr="00436064">
        <w:rPr>
          <w:rFonts w:eastAsia="Times New Roman"/>
          <w:sz w:val="30"/>
          <w:szCs w:val="30"/>
        </w:rPr>
        <w:t>«1.11. закупки за счет средств, поступающих от проведения субботников, за исключением закупок товаров (работ, услуг) при строительстве объектов, в том числе их ремонте, реконструкции, реставрации и благоустройстве, осуществляются в порядке, определенном настоящим решением, независимо от стоимости и предмета закупки;»;</w:t>
      </w:r>
    </w:p>
    <w:p w:rsidR="00A232E6" w:rsidRPr="00436064" w:rsidRDefault="00A232E6">
      <w:pPr>
        <w:pStyle w:val="newncpi"/>
        <w:rPr>
          <w:rFonts w:eastAsia="Times New Roman"/>
          <w:sz w:val="30"/>
          <w:szCs w:val="30"/>
        </w:rPr>
      </w:pPr>
      <w:r w:rsidRPr="00436064">
        <w:rPr>
          <w:rFonts w:eastAsia="Times New Roman"/>
          <w:sz w:val="30"/>
          <w:szCs w:val="30"/>
        </w:rPr>
        <w:t>подпункт 1.2 дополнить словами «, если иное не установлено в подпункте 1.11 настоящего пункта»;</w:t>
      </w:r>
    </w:p>
    <w:p w:rsidR="00A232E6" w:rsidRPr="00436064" w:rsidRDefault="00A232E6">
      <w:pPr>
        <w:pStyle w:val="underpoint"/>
        <w:rPr>
          <w:rFonts w:eastAsia="Times New Roman"/>
          <w:sz w:val="30"/>
          <w:szCs w:val="30"/>
        </w:rPr>
      </w:pPr>
      <w:r w:rsidRPr="00436064">
        <w:rPr>
          <w:rFonts w:eastAsia="Times New Roman"/>
          <w:sz w:val="30"/>
          <w:szCs w:val="30"/>
        </w:rPr>
        <w:t>1.2. в пункте 2:</w:t>
      </w:r>
    </w:p>
    <w:p w:rsidR="00A232E6" w:rsidRPr="00436064" w:rsidRDefault="00A232E6">
      <w:pPr>
        <w:pStyle w:val="newncpi"/>
        <w:rPr>
          <w:rFonts w:eastAsia="Times New Roman"/>
          <w:sz w:val="30"/>
          <w:szCs w:val="30"/>
        </w:rPr>
      </w:pPr>
      <w:r w:rsidRPr="00436064">
        <w:rPr>
          <w:rFonts w:eastAsia="Times New Roman"/>
          <w:sz w:val="30"/>
          <w:szCs w:val="30"/>
        </w:rPr>
        <w:t>часть вторую подпункта 2.1 изложить в следующей редакции:</w:t>
      </w:r>
    </w:p>
    <w:p w:rsidR="00A232E6" w:rsidRPr="00436064" w:rsidRDefault="00A232E6">
      <w:pPr>
        <w:pStyle w:val="newncpi"/>
        <w:rPr>
          <w:rFonts w:eastAsia="Times New Roman"/>
          <w:sz w:val="30"/>
          <w:szCs w:val="30"/>
        </w:rPr>
      </w:pPr>
      <w:r w:rsidRPr="00436064">
        <w:rPr>
          <w:rFonts w:eastAsia="Times New Roman"/>
          <w:sz w:val="30"/>
          <w:szCs w:val="30"/>
        </w:rPr>
        <w:t xml:space="preserve">«Виды таких процедур, а также условия их применения и проведения, требования к заключению и исполнению договоров на закупки, а также иные положения, связанные с осуществлением организацией закупок за счет собственных средств, определяются организацией в порядке осуществления закупок за счет собственных средств (далее – порядок за счет собственных средств) с учетом требований, содержащихся в подпунктах 2.2–2.17 настоящего пункта, а также иных требований, установленных законодательными актами или </w:t>
      </w:r>
      <w:r w:rsidRPr="00436064">
        <w:rPr>
          <w:rFonts w:eastAsia="Times New Roman"/>
          <w:sz w:val="30"/>
          <w:szCs w:val="30"/>
        </w:rPr>
        <w:lastRenderedPageBreak/>
        <w:t>Советом Министров Республики Беларусь в отношении осуществления закупок за счет собственных средств отдельных видов товаров (работ, услуг).»;</w:t>
      </w:r>
    </w:p>
    <w:p w:rsidR="00A232E6" w:rsidRPr="00436064" w:rsidRDefault="00A232E6">
      <w:pPr>
        <w:pStyle w:val="underpoint"/>
        <w:rPr>
          <w:rFonts w:eastAsia="Times New Roman"/>
          <w:sz w:val="30"/>
          <w:szCs w:val="30"/>
        </w:rPr>
      </w:pPr>
      <w:r w:rsidRPr="00436064">
        <w:rPr>
          <w:rFonts w:eastAsia="Times New Roman"/>
          <w:sz w:val="30"/>
          <w:szCs w:val="30"/>
        </w:rPr>
        <w:t>1.3. в приложении к этому решению:</w:t>
      </w:r>
    </w:p>
    <w:p w:rsidR="00A232E6" w:rsidRPr="00436064" w:rsidRDefault="00A232E6">
      <w:pPr>
        <w:pStyle w:val="newncpi"/>
        <w:rPr>
          <w:rFonts w:eastAsia="Times New Roman"/>
          <w:sz w:val="30"/>
          <w:szCs w:val="30"/>
        </w:rPr>
      </w:pPr>
      <w:r w:rsidRPr="00436064">
        <w:rPr>
          <w:rFonts w:eastAsia="Times New Roman"/>
          <w:sz w:val="30"/>
          <w:szCs w:val="30"/>
        </w:rPr>
        <w:t>часть вторую пункта 1 дополнить словами «либо на биржевых торгах»;</w:t>
      </w:r>
    </w:p>
    <w:p w:rsidR="00A232E6" w:rsidRPr="00436064" w:rsidRDefault="00A232E6">
      <w:pPr>
        <w:pStyle w:val="newncpi"/>
        <w:rPr>
          <w:rFonts w:eastAsia="Times New Roman"/>
          <w:sz w:val="30"/>
          <w:szCs w:val="30"/>
        </w:rPr>
      </w:pPr>
      <w:r w:rsidRPr="00436064">
        <w:rPr>
          <w:rFonts w:eastAsia="Times New Roman"/>
          <w:sz w:val="30"/>
          <w:szCs w:val="30"/>
        </w:rPr>
        <w:t>пункт 9 дополнить словами «, за исключением закупок аудиторских услуг по проведению обязательного аудита годовой бухгалтерской и (или) финансовой отчетности»;</w:t>
      </w:r>
    </w:p>
    <w:p w:rsidR="00A232E6" w:rsidRPr="00436064" w:rsidRDefault="00A232E6">
      <w:pPr>
        <w:pStyle w:val="newncpi"/>
        <w:rPr>
          <w:rFonts w:eastAsia="Times New Roman"/>
          <w:sz w:val="30"/>
          <w:szCs w:val="30"/>
        </w:rPr>
      </w:pPr>
      <w:r w:rsidRPr="00436064">
        <w:rPr>
          <w:rFonts w:eastAsia="Times New Roman"/>
          <w:sz w:val="30"/>
          <w:szCs w:val="30"/>
        </w:rPr>
        <w:t>дополнить приложение пунктами 57–61 следующего содержания:</w:t>
      </w:r>
    </w:p>
    <w:p w:rsidR="00A232E6" w:rsidRPr="00436064" w:rsidRDefault="00A232E6">
      <w:pPr>
        <w:pStyle w:val="point"/>
        <w:rPr>
          <w:rFonts w:eastAsia="Times New Roman"/>
          <w:sz w:val="30"/>
          <w:szCs w:val="30"/>
        </w:rPr>
      </w:pPr>
      <w:r w:rsidRPr="00436064">
        <w:rPr>
          <w:rFonts w:eastAsia="Times New Roman"/>
          <w:sz w:val="30"/>
          <w:szCs w:val="30"/>
        </w:rPr>
        <w:t>«57. Закупки товаров, производимых открытым акционерным обществом «Барановичский завод станкопринадлежностей», открытым акционерным обществом завод «Визас», открытым акционерным обществом «ВИСТАН», открытым акционерным обществом «Гомельский завод станочных узлов», открытым акционерным обществом «Гродненский завод токарных патронов «БелТАПАЗ», открытым акционерным обществом «МЗОР», открытым акционерным обществом «Минский завод автоматических линий имени П.М.Машерова», открытым акционерным обществом Оршанский станкостроительный завод «Красный борец», открытым акционерным обществом «СтанкоГомель», открытым акционерным обществом «СТАНКОСТРОИТЕЛЬНЫЙ ЗАВОД имени С.М.КИРОВА», филиалом закрытого акционерного общества «АТЛАНТ» – Барановичским станкостроительным заводом, открытым акционерным обществом «Кузлитмаш», организациями, входящими в состав холдинга «Геоинформационные системы управления», открытым акционерным обществом «Брестский электромеханический завод».</w:t>
      </w:r>
    </w:p>
    <w:p w:rsidR="00A232E6" w:rsidRPr="00436064" w:rsidRDefault="00A232E6">
      <w:pPr>
        <w:pStyle w:val="point"/>
        <w:rPr>
          <w:rFonts w:eastAsia="Times New Roman"/>
          <w:sz w:val="30"/>
          <w:szCs w:val="30"/>
        </w:rPr>
      </w:pPr>
      <w:r w:rsidRPr="00436064">
        <w:rPr>
          <w:rFonts w:eastAsia="Times New Roman"/>
          <w:sz w:val="30"/>
          <w:szCs w:val="30"/>
        </w:rPr>
        <w:t>58. Закупки у общества с ограниченной ответственностью «Телевизионный рекламный альянс» его участниками услуг по совершению сделок с рекламодателями по размещению рекламы в телепрограммах таких участников.</w:t>
      </w:r>
    </w:p>
    <w:p w:rsidR="00A232E6" w:rsidRPr="00436064" w:rsidRDefault="00A232E6">
      <w:pPr>
        <w:pStyle w:val="point"/>
        <w:rPr>
          <w:rFonts w:eastAsia="Times New Roman"/>
          <w:sz w:val="30"/>
          <w:szCs w:val="30"/>
        </w:rPr>
      </w:pPr>
      <w:r w:rsidRPr="00436064">
        <w:rPr>
          <w:rFonts w:eastAsia="Times New Roman"/>
          <w:sz w:val="30"/>
          <w:szCs w:val="30"/>
        </w:rPr>
        <w:t>59. Закупки товаров, производимых открытым акционерным обществом «Строммаш».</w:t>
      </w:r>
    </w:p>
    <w:p w:rsidR="00A232E6" w:rsidRPr="00436064" w:rsidRDefault="00A232E6">
      <w:pPr>
        <w:pStyle w:val="point"/>
        <w:rPr>
          <w:rFonts w:eastAsia="Times New Roman"/>
          <w:sz w:val="30"/>
          <w:szCs w:val="30"/>
        </w:rPr>
      </w:pPr>
      <w:r w:rsidRPr="00436064">
        <w:rPr>
          <w:rFonts w:eastAsia="Times New Roman"/>
          <w:sz w:val="30"/>
          <w:szCs w:val="30"/>
        </w:rPr>
        <w:t>60. Закупки закрытым акционерным обществом «Белорусская национальная биотехнологическая корпорация» для собственных нужд аминокислот и иных компонентов для производства кормов для животных при условии осуществления этих закупок у производителей или их сбытовых организаций (официальных торговых представителей), за исключением случаев, когда такие закупки экономически нецелесообразны или невозможны.</w:t>
      </w:r>
    </w:p>
    <w:p w:rsidR="00A232E6" w:rsidRPr="00436064" w:rsidRDefault="00A232E6">
      <w:pPr>
        <w:pStyle w:val="point"/>
        <w:rPr>
          <w:rFonts w:eastAsia="Times New Roman"/>
          <w:sz w:val="30"/>
          <w:szCs w:val="30"/>
        </w:rPr>
      </w:pPr>
      <w:r w:rsidRPr="00436064">
        <w:rPr>
          <w:rFonts w:eastAsia="Times New Roman"/>
          <w:sz w:val="30"/>
          <w:szCs w:val="30"/>
        </w:rPr>
        <w:t xml:space="preserve">61. Закупки организациями агропромышленного комплекса у закрытого акционерного общества «Белорусская национальная </w:t>
      </w:r>
      <w:r w:rsidRPr="00436064">
        <w:rPr>
          <w:rFonts w:eastAsia="Times New Roman"/>
          <w:sz w:val="30"/>
          <w:szCs w:val="30"/>
        </w:rPr>
        <w:lastRenderedPageBreak/>
        <w:t>биотехнологическая корпорация» произведенных им аминокислот и иных компонентов для производства кормов для животных по ценам ниже справочных максимальных цен, представляемых рабочей группой, созданной в соответствии с распоряжением Премьер-министра Республики Беларусь от 19 июня 2009 г. № 63р.».</w:t>
      </w:r>
    </w:p>
    <w:p w:rsidR="00A232E6" w:rsidRPr="00436064" w:rsidRDefault="00A232E6">
      <w:pPr>
        <w:pStyle w:val="point"/>
        <w:rPr>
          <w:rFonts w:eastAsia="Times New Roman"/>
          <w:sz w:val="30"/>
          <w:szCs w:val="30"/>
        </w:rPr>
      </w:pPr>
      <w:r w:rsidRPr="00436064">
        <w:rPr>
          <w:rFonts w:eastAsia="Times New Roman"/>
          <w:sz w:val="30"/>
          <w:szCs w:val="30"/>
        </w:rPr>
        <w:t>2. Настоящее решение вступает в силу после его официального опубликования.</w:t>
      </w:r>
    </w:p>
    <w:p w:rsidR="00A232E6" w:rsidRPr="00436064" w:rsidRDefault="00A232E6">
      <w:pPr>
        <w:pStyle w:val="newncpi"/>
        <w:rPr>
          <w:rFonts w:eastAsia="Times New Roman"/>
          <w:sz w:val="30"/>
          <w:szCs w:val="30"/>
        </w:rPr>
      </w:pPr>
      <w:r w:rsidRPr="00436064">
        <w:rPr>
          <w:rFonts w:eastAsia="Times New Roman"/>
          <w:sz w:val="30"/>
          <w:szCs w:val="30"/>
        </w:rPr>
        <w:t> </w:t>
      </w:r>
    </w:p>
    <w:tbl>
      <w:tblPr>
        <w:tblW w:w="5000" w:type="pct"/>
        <w:tblCellMar>
          <w:left w:w="0" w:type="dxa"/>
          <w:right w:w="0" w:type="dxa"/>
        </w:tblCellMar>
        <w:tblLook w:val="04A0"/>
      </w:tblPr>
      <w:tblGrid>
        <w:gridCol w:w="4684"/>
        <w:gridCol w:w="4685"/>
      </w:tblGrid>
      <w:tr w:rsidR="00A232E6" w:rsidRPr="00436064">
        <w:tc>
          <w:tcPr>
            <w:tcW w:w="2500" w:type="pct"/>
            <w:tcMar>
              <w:top w:w="0" w:type="dxa"/>
              <w:left w:w="6" w:type="dxa"/>
              <w:bottom w:w="0" w:type="dxa"/>
              <w:right w:w="6" w:type="dxa"/>
            </w:tcMar>
            <w:vAlign w:val="bottom"/>
            <w:hideMark/>
          </w:tcPr>
          <w:p w:rsidR="00A232E6" w:rsidRPr="00436064" w:rsidRDefault="00A232E6">
            <w:pPr>
              <w:pStyle w:val="newncpi0"/>
              <w:jc w:val="left"/>
              <w:rPr>
                <w:rFonts w:eastAsia="Times New Roman"/>
                <w:sz w:val="30"/>
                <w:szCs w:val="30"/>
              </w:rPr>
            </w:pPr>
            <w:r w:rsidRPr="00436064">
              <w:rPr>
                <w:rFonts w:eastAsia="Times New Roman"/>
                <w:bCs/>
                <w:sz w:val="30"/>
                <w:szCs w:val="30"/>
              </w:rPr>
              <w:t>Председатель</w:t>
            </w:r>
          </w:p>
        </w:tc>
        <w:tc>
          <w:tcPr>
            <w:tcW w:w="2500" w:type="pct"/>
            <w:tcMar>
              <w:top w:w="0" w:type="dxa"/>
              <w:left w:w="6" w:type="dxa"/>
              <w:bottom w:w="0" w:type="dxa"/>
              <w:right w:w="6" w:type="dxa"/>
            </w:tcMar>
            <w:vAlign w:val="bottom"/>
            <w:hideMark/>
          </w:tcPr>
          <w:p w:rsidR="00A232E6" w:rsidRPr="00436064" w:rsidRDefault="00A232E6">
            <w:pPr>
              <w:pStyle w:val="newncpi0"/>
              <w:jc w:val="right"/>
              <w:rPr>
                <w:rFonts w:eastAsia="Times New Roman"/>
                <w:sz w:val="30"/>
                <w:szCs w:val="30"/>
              </w:rPr>
            </w:pPr>
            <w:r w:rsidRPr="00436064">
              <w:rPr>
                <w:rFonts w:eastAsia="Times New Roman"/>
                <w:bCs/>
                <w:sz w:val="30"/>
                <w:szCs w:val="30"/>
              </w:rPr>
              <w:t>С.Л.Зуева</w:t>
            </w:r>
          </w:p>
        </w:tc>
      </w:tr>
    </w:tbl>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436064" w:rsidRDefault="00436064">
      <w:pPr>
        <w:pStyle w:val="newncpi0"/>
        <w:rPr>
          <w:rFonts w:eastAsia="Times New Roman"/>
          <w:sz w:val="30"/>
          <w:szCs w:val="30"/>
        </w:rPr>
      </w:pPr>
    </w:p>
    <w:p w:rsidR="00A232E6" w:rsidRPr="00436064" w:rsidRDefault="00A232E6">
      <w:pPr>
        <w:pStyle w:val="newncpi0"/>
        <w:rPr>
          <w:rFonts w:eastAsia="Times New Roman"/>
          <w:sz w:val="30"/>
          <w:szCs w:val="30"/>
        </w:rPr>
      </w:pPr>
      <w:r w:rsidRPr="00436064">
        <w:rPr>
          <w:rFonts w:eastAsia="Times New Roman"/>
          <w:sz w:val="30"/>
          <w:szCs w:val="30"/>
        </w:rPr>
        <w:t> </w:t>
      </w:r>
      <w:r w:rsidR="00436064">
        <w:rPr>
          <w:rStyle w:val="post"/>
          <w:b w:val="0"/>
          <w:sz w:val="20"/>
          <w:szCs w:val="20"/>
        </w:rPr>
        <w:t>Иваненко 595</w:t>
      </w:r>
      <w:r w:rsidR="00436064" w:rsidRPr="00662591">
        <w:rPr>
          <w:rStyle w:val="post"/>
          <w:b w:val="0"/>
          <w:sz w:val="20"/>
          <w:szCs w:val="20"/>
        </w:rPr>
        <w:t>45</w:t>
      </w:r>
    </w:p>
    <w:sectPr w:rsidR="00A232E6" w:rsidRPr="00436064" w:rsidSect="00A232E6">
      <w:headerReference w:type="even" r:id="rId7"/>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A9E" w:rsidRDefault="00697A9E" w:rsidP="00A232E6">
      <w:pPr>
        <w:spacing w:after="0" w:line="240" w:lineRule="auto"/>
      </w:pPr>
      <w:r>
        <w:separator/>
      </w:r>
    </w:p>
  </w:endnote>
  <w:endnote w:type="continuationSeparator" w:id="0">
    <w:p w:rsidR="00697A9E" w:rsidRDefault="00697A9E" w:rsidP="00A23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A9E" w:rsidRDefault="00697A9E" w:rsidP="00A232E6">
      <w:pPr>
        <w:spacing w:after="0" w:line="240" w:lineRule="auto"/>
      </w:pPr>
      <w:r>
        <w:separator/>
      </w:r>
    </w:p>
  </w:footnote>
  <w:footnote w:type="continuationSeparator" w:id="0">
    <w:p w:rsidR="00697A9E" w:rsidRDefault="00697A9E" w:rsidP="00A232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E6" w:rsidRDefault="00330941" w:rsidP="003A4061">
    <w:pPr>
      <w:pStyle w:val="a3"/>
      <w:framePr w:wrap="around" w:vAnchor="text" w:hAnchor="margin" w:xAlign="center" w:y="1"/>
      <w:rPr>
        <w:rStyle w:val="a7"/>
      </w:rPr>
    </w:pPr>
    <w:r>
      <w:rPr>
        <w:rStyle w:val="a7"/>
      </w:rPr>
      <w:fldChar w:fldCharType="begin"/>
    </w:r>
    <w:r w:rsidR="00A232E6">
      <w:rPr>
        <w:rStyle w:val="a7"/>
      </w:rPr>
      <w:instrText xml:space="preserve">PAGE  </w:instrText>
    </w:r>
    <w:r>
      <w:rPr>
        <w:rStyle w:val="a7"/>
      </w:rPr>
      <w:fldChar w:fldCharType="end"/>
    </w:r>
  </w:p>
  <w:p w:rsidR="00A232E6" w:rsidRDefault="00A232E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232E6"/>
    <w:rsid w:val="00150B79"/>
    <w:rsid w:val="00330941"/>
    <w:rsid w:val="00436064"/>
    <w:rsid w:val="00697A9E"/>
    <w:rsid w:val="009040B3"/>
    <w:rsid w:val="00A232E6"/>
    <w:rsid w:val="00BA6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DFF"/>
  </w:style>
  <w:style w:type="paragraph" w:styleId="1">
    <w:name w:val="heading 1"/>
    <w:basedOn w:val="a"/>
    <w:next w:val="a"/>
    <w:link w:val="10"/>
    <w:qFormat/>
    <w:rsid w:val="00436064"/>
    <w:pPr>
      <w:keepNext/>
      <w:spacing w:after="0" w:line="240" w:lineRule="auto"/>
      <w:jc w:val="both"/>
      <w:outlineLvl w:val="0"/>
    </w:pPr>
    <w:rPr>
      <w:rFonts w:ascii="Times New Roman" w:eastAsia="Times New Roman" w:hAnsi="Times New Roman" w:cs="Times New Roman"/>
      <w:sz w:val="3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A232E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A232E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232E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A232E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A232E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232E6"/>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232E6"/>
    <w:rPr>
      <w:rFonts w:ascii="Times New Roman" w:hAnsi="Times New Roman" w:cs="Times New Roman" w:hint="default"/>
      <w:caps/>
    </w:rPr>
  </w:style>
  <w:style w:type="character" w:customStyle="1" w:styleId="promulgator">
    <w:name w:val="promulgator"/>
    <w:basedOn w:val="a0"/>
    <w:rsid w:val="00A232E6"/>
    <w:rPr>
      <w:rFonts w:ascii="Times New Roman" w:hAnsi="Times New Roman" w:cs="Times New Roman" w:hint="default"/>
      <w:caps/>
    </w:rPr>
  </w:style>
  <w:style w:type="character" w:customStyle="1" w:styleId="datepr">
    <w:name w:val="datepr"/>
    <w:basedOn w:val="a0"/>
    <w:rsid w:val="00A232E6"/>
    <w:rPr>
      <w:rFonts w:ascii="Times New Roman" w:hAnsi="Times New Roman" w:cs="Times New Roman" w:hint="default"/>
    </w:rPr>
  </w:style>
  <w:style w:type="character" w:customStyle="1" w:styleId="number">
    <w:name w:val="number"/>
    <w:basedOn w:val="a0"/>
    <w:rsid w:val="00A232E6"/>
    <w:rPr>
      <w:rFonts w:ascii="Times New Roman" w:hAnsi="Times New Roman" w:cs="Times New Roman" w:hint="default"/>
    </w:rPr>
  </w:style>
  <w:style w:type="character" w:customStyle="1" w:styleId="rednoun">
    <w:name w:val="rednoun"/>
    <w:basedOn w:val="a0"/>
    <w:rsid w:val="00A232E6"/>
  </w:style>
  <w:style w:type="character" w:customStyle="1" w:styleId="post">
    <w:name w:val="post"/>
    <w:basedOn w:val="a0"/>
    <w:rsid w:val="00A232E6"/>
    <w:rPr>
      <w:rFonts w:ascii="Times New Roman" w:hAnsi="Times New Roman" w:cs="Times New Roman" w:hint="default"/>
      <w:b/>
      <w:bCs/>
      <w:sz w:val="22"/>
      <w:szCs w:val="22"/>
    </w:rPr>
  </w:style>
  <w:style w:type="character" w:customStyle="1" w:styleId="pers">
    <w:name w:val="pers"/>
    <w:basedOn w:val="a0"/>
    <w:rsid w:val="00A232E6"/>
    <w:rPr>
      <w:rFonts w:ascii="Times New Roman" w:hAnsi="Times New Roman" w:cs="Times New Roman" w:hint="default"/>
      <w:b/>
      <w:bCs/>
      <w:sz w:val="22"/>
      <w:szCs w:val="22"/>
    </w:rPr>
  </w:style>
  <w:style w:type="paragraph" w:styleId="a3">
    <w:name w:val="header"/>
    <w:basedOn w:val="a"/>
    <w:link w:val="a4"/>
    <w:unhideWhenUsed/>
    <w:rsid w:val="00A232E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232E6"/>
  </w:style>
  <w:style w:type="paragraph" w:styleId="a5">
    <w:name w:val="footer"/>
    <w:basedOn w:val="a"/>
    <w:link w:val="a6"/>
    <w:uiPriority w:val="99"/>
    <w:semiHidden/>
    <w:unhideWhenUsed/>
    <w:rsid w:val="00A232E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232E6"/>
  </w:style>
  <w:style w:type="character" w:styleId="a7">
    <w:name w:val="page number"/>
    <w:basedOn w:val="a0"/>
    <w:uiPriority w:val="99"/>
    <w:semiHidden/>
    <w:unhideWhenUsed/>
    <w:rsid w:val="00A232E6"/>
  </w:style>
  <w:style w:type="table" w:styleId="a8">
    <w:name w:val="Table Grid"/>
    <w:basedOn w:val="a1"/>
    <w:uiPriority w:val="59"/>
    <w:rsid w:val="00A232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4360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6064"/>
    <w:rPr>
      <w:rFonts w:ascii="Tahoma" w:hAnsi="Tahoma" w:cs="Tahoma"/>
      <w:sz w:val="16"/>
      <w:szCs w:val="16"/>
    </w:rPr>
  </w:style>
  <w:style w:type="character" w:customStyle="1" w:styleId="10">
    <w:name w:val="Заголовок 1 Знак"/>
    <w:basedOn w:val="a0"/>
    <w:link w:val="1"/>
    <w:rsid w:val="00436064"/>
    <w:rPr>
      <w:rFonts w:ascii="Times New Roman" w:eastAsia="Times New Roman" w:hAnsi="Times New Roman" w:cs="Times New Roman"/>
      <w:sz w:val="30"/>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713</Words>
  <Characters>4070</Characters>
  <Application>Microsoft Office Word</Application>
  <DocSecurity>0</DocSecurity>
  <Lines>33</Lines>
  <Paragraphs>9</Paragraphs>
  <ScaleCrop>false</ScaleCrop>
  <Company>Microsoft</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Borbet</cp:lastModifiedBy>
  <cp:revision>3</cp:revision>
  <dcterms:created xsi:type="dcterms:W3CDTF">2020-04-20T10:55:00Z</dcterms:created>
  <dcterms:modified xsi:type="dcterms:W3CDTF">2020-04-21T10:29:00Z</dcterms:modified>
</cp:coreProperties>
</file>