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8125"/>
        <w:gridCol w:w="8177"/>
      </w:tblGrid>
      <w:tr w:rsidR="00BE6215" w:rsidTr="00B94A7C">
        <w:trPr>
          <w:trHeight w:val="10763"/>
        </w:trPr>
        <w:tc>
          <w:tcPr>
            <w:tcW w:w="8125" w:type="dxa"/>
            <w:shd w:val="clear" w:color="auto" w:fill="FFFF99"/>
          </w:tcPr>
          <w:p w:rsidR="00F441BB" w:rsidRDefault="00700513" w:rsidP="00700513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700513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Питание и диета</w:t>
            </w:r>
          </w:p>
          <w:p w:rsidR="00700513" w:rsidRDefault="00CF397E" w:rsidP="00CF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B0A0343" wp14:editId="2A2BFAE1">
                  <wp:simplePos x="0" y="0"/>
                  <wp:positionH relativeFrom="column">
                    <wp:posOffset>2479675</wp:posOffset>
                  </wp:positionH>
                  <wp:positionV relativeFrom="paragraph">
                    <wp:posOffset>208280</wp:posOffset>
                  </wp:positionV>
                  <wp:extent cx="2541270" cy="1628775"/>
                  <wp:effectExtent l="0" t="0" r="0" b="9525"/>
                  <wp:wrapTight wrapText="bothSides">
                    <wp:wrapPolygon edited="0">
                      <wp:start x="0" y="0"/>
                      <wp:lineTo x="0" y="21474"/>
                      <wp:lineTo x="21373" y="21474"/>
                      <wp:lineTo x="21373" y="0"/>
                      <wp:lineTo x="0" y="0"/>
                    </wp:wrapPolygon>
                  </wp:wrapTight>
                  <wp:docPr id="11" name="Рисунок 11" descr="https://img11.postila.ru/data/e7/56/32/7c/e756327c57c72558180d21833201db41227390a54d07a538f451274fb2335b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11.postila.ru/data/e7/56/32/7c/e756327c57c72558180d21833201db41227390a54d07a538f451274fb2335b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0513" w:rsidRPr="00700513">
              <w:rPr>
                <w:rFonts w:ascii="Times New Roman" w:hAnsi="Times New Roman" w:cs="Times New Roman"/>
                <w:sz w:val="28"/>
                <w:szCs w:val="28"/>
              </w:rPr>
              <w:t>В прошлом было разработано много диет, имевших целью улучшить</w:t>
            </w:r>
            <w:r w:rsidR="0070051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псориаза, но ни одна из их не прошла проверку временем и не получила научного подтверждения. Сегодня можно определенно сказать, что употребление продуктов, содержащих жиры, уксус и перец, может спровоцировать обострение или ухудшить течение заболевания.</w:t>
            </w:r>
          </w:p>
          <w:p w:rsidR="00700513" w:rsidRDefault="00CF397E" w:rsidP="0070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          </w:t>
            </w:r>
            <w:r w:rsidR="00700513" w:rsidRPr="00700513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Целесообразно ограничить </w:t>
            </w:r>
            <w:r w:rsidR="00700513">
              <w:rPr>
                <w:rFonts w:ascii="Times New Roman" w:hAnsi="Times New Roman" w:cs="Times New Roman"/>
                <w:sz w:val="28"/>
                <w:szCs w:val="28"/>
              </w:rPr>
              <w:t>употребление маринованной, жареной и жирной пищи, кофе, шоколада, сладостей, мучных изделий, продуктов питания, содержащих консерванты и пищевые добавки, скоропортящихся и полуфабрикатных продуктов (паштеты, мясной и рыбный салаты и др.)</w:t>
            </w:r>
          </w:p>
          <w:p w:rsidR="00700513" w:rsidRDefault="00CF397E" w:rsidP="0070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F397E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Запрещается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острой, соленой и копченой пищи. Рацион больных псориазом должен на2/3 состоять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щелочеобразующих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и только на 1/3 – из кислотообразующих.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Щелочеобразующие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фрукты и овощи, за исключением земляники, клубники, манго. Бананов, помидоров, картофеля, перца и баклажанов. </w:t>
            </w:r>
          </w:p>
          <w:p w:rsidR="00CF397E" w:rsidRPr="00700513" w:rsidRDefault="00CF397E" w:rsidP="0070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F397E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Необходимо употребление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достаточного количества белковой пищи (не менее 100г в сутки) в большей степени за счет молочно-растительных продуктов.</w:t>
            </w:r>
          </w:p>
          <w:p w:rsidR="00700513" w:rsidRDefault="00700513" w:rsidP="0070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7E" w:rsidRDefault="00CF397E" w:rsidP="0070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7E" w:rsidRDefault="00CF397E" w:rsidP="0070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7E" w:rsidRDefault="00CF397E" w:rsidP="0070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7E" w:rsidRPr="00B94A7C" w:rsidRDefault="00CF397E" w:rsidP="00CF3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7C">
              <w:rPr>
                <w:rFonts w:ascii="Times New Roman" w:hAnsi="Times New Roman" w:cs="Times New Roman"/>
                <w:sz w:val="18"/>
                <w:szCs w:val="18"/>
              </w:rPr>
              <w:t>ГУ «</w:t>
            </w:r>
            <w:proofErr w:type="spellStart"/>
            <w:r w:rsidRPr="00B94A7C">
              <w:rPr>
                <w:rFonts w:ascii="Times New Roman" w:hAnsi="Times New Roman" w:cs="Times New Roman"/>
                <w:sz w:val="18"/>
                <w:szCs w:val="18"/>
              </w:rPr>
              <w:t>Городокский</w:t>
            </w:r>
            <w:proofErr w:type="spellEnd"/>
            <w:r w:rsidRPr="00B94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A7C">
              <w:rPr>
                <w:rFonts w:ascii="Times New Roman" w:hAnsi="Times New Roman" w:cs="Times New Roman"/>
                <w:sz w:val="18"/>
                <w:szCs w:val="18"/>
              </w:rPr>
              <w:t>цнтр</w:t>
            </w:r>
            <w:proofErr w:type="spellEnd"/>
            <w:r w:rsidRPr="00B94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A7C">
              <w:rPr>
                <w:rFonts w:ascii="Times New Roman" w:hAnsi="Times New Roman" w:cs="Times New Roman"/>
                <w:sz w:val="18"/>
                <w:szCs w:val="18"/>
              </w:rPr>
              <w:t>игиены</w:t>
            </w:r>
            <w:proofErr w:type="spellEnd"/>
            <w:r w:rsidRPr="00B94A7C">
              <w:rPr>
                <w:rFonts w:ascii="Times New Roman" w:hAnsi="Times New Roman" w:cs="Times New Roman"/>
                <w:sz w:val="18"/>
                <w:szCs w:val="18"/>
              </w:rPr>
              <w:t xml:space="preserve"> и эпидемиологии»</w:t>
            </w:r>
          </w:p>
          <w:p w:rsidR="00CF397E" w:rsidRPr="00700513" w:rsidRDefault="00CF397E" w:rsidP="00CF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C">
              <w:rPr>
                <w:rFonts w:ascii="Times New Roman" w:hAnsi="Times New Roman" w:cs="Times New Roman"/>
                <w:sz w:val="18"/>
                <w:szCs w:val="18"/>
              </w:rPr>
              <w:t xml:space="preserve">инд.211573, Витебская область, </w:t>
            </w:r>
            <w:proofErr w:type="spellStart"/>
            <w:r w:rsidRPr="00B94A7C">
              <w:rPr>
                <w:rFonts w:ascii="Times New Roman" w:hAnsi="Times New Roman" w:cs="Times New Roman"/>
                <w:sz w:val="18"/>
                <w:szCs w:val="18"/>
              </w:rPr>
              <w:t>г.Городок</w:t>
            </w:r>
            <w:proofErr w:type="spellEnd"/>
            <w:r w:rsidRPr="00B94A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4A7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B94A7C">
              <w:rPr>
                <w:rFonts w:ascii="Times New Roman" w:hAnsi="Times New Roman" w:cs="Times New Roman"/>
                <w:sz w:val="18"/>
                <w:szCs w:val="18"/>
              </w:rPr>
              <w:t xml:space="preserve"> Комсомольская, 8</w:t>
            </w:r>
          </w:p>
        </w:tc>
        <w:tc>
          <w:tcPr>
            <w:tcW w:w="8177" w:type="dxa"/>
            <w:shd w:val="clear" w:color="auto" w:fill="FFFF99"/>
          </w:tcPr>
          <w:p w:rsidR="00F441BB" w:rsidRDefault="00F441BB"/>
          <w:p w:rsidR="00F441BB" w:rsidRPr="00F441BB" w:rsidRDefault="00F441BB" w:rsidP="00F441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441BB">
              <w:rPr>
                <w:rFonts w:ascii="Monotype Corsiva" w:hAnsi="Monotype Corsiva"/>
                <w:b/>
                <w:sz w:val="28"/>
                <w:szCs w:val="28"/>
              </w:rPr>
              <w:t>ГУ «</w:t>
            </w:r>
            <w:proofErr w:type="spellStart"/>
            <w:r w:rsidRPr="00F441BB">
              <w:rPr>
                <w:rFonts w:ascii="Monotype Corsiva" w:hAnsi="Monotype Corsiva"/>
                <w:b/>
                <w:sz w:val="28"/>
                <w:szCs w:val="28"/>
              </w:rPr>
              <w:t>Городокский</w:t>
            </w:r>
            <w:proofErr w:type="spellEnd"/>
            <w:r w:rsidRPr="00F441BB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proofErr w:type="spellStart"/>
            <w:r w:rsidRPr="00F441BB">
              <w:rPr>
                <w:rFonts w:ascii="Monotype Corsiva" w:hAnsi="Monotype Corsiva"/>
                <w:b/>
                <w:sz w:val="28"/>
                <w:szCs w:val="28"/>
              </w:rPr>
              <w:t>районый</w:t>
            </w:r>
            <w:proofErr w:type="spellEnd"/>
            <w:r w:rsidRPr="00F441BB">
              <w:rPr>
                <w:rFonts w:ascii="Monotype Corsiva" w:hAnsi="Monotype Corsiva"/>
                <w:b/>
                <w:sz w:val="28"/>
                <w:szCs w:val="28"/>
              </w:rPr>
              <w:t xml:space="preserve"> центр гигиены и эпидемиологии»</w:t>
            </w:r>
          </w:p>
          <w:p w:rsidR="00F441BB" w:rsidRPr="00F441BB" w:rsidRDefault="00F441BB" w:rsidP="00F441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F441BB" w:rsidRDefault="00F441BB"/>
          <w:p w:rsidR="00F441BB" w:rsidRDefault="00F441BB"/>
          <w:p w:rsidR="00F441BB" w:rsidRPr="00F441BB" w:rsidRDefault="00F441BB" w:rsidP="00F441BB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 w:rsidRPr="00F441BB">
              <w:rPr>
                <w:rFonts w:ascii="Arial Black" w:hAnsi="Arial Black"/>
                <w:sz w:val="72"/>
                <w:szCs w:val="72"/>
              </w:rPr>
              <w:t>Псориаз</w:t>
            </w:r>
          </w:p>
          <w:p w:rsidR="00F441BB" w:rsidRDefault="00F441BB"/>
          <w:p w:rsidR="00F441BB" w:rsidRDefault="00F441BB" w:rsidP="00F441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305EF1" wp14:editId="084D0DA7">
                  <wp:extent cx="4484086" cy="2990850"/>
                  <wp:effectExtent l="0" t="0" r="0" b="0"/>
                  <wp:docPr id="1" name="Рисунок 1" descr="https://fb.ru/media/i/3/7/1/8/4/1/i/371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b.ru/media/i/3/7/1/8/4/1/i/371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369" cy="299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1BB" w:rsidRDefault="00F441BB"/>
          <w:p w:rsidR="00F441BB" w:rsidRPr="00F441BB" w:rsidRDefault="00F441BB" w:rsidP="00F441BB">
            <w:pPr>
              <w:tabs>
                <w:tab w:val="center" w:pos="3980"/>
                <w:tab w:val="left" w:pos="6885"/>
              </w:tabs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 w:cs="Cambria"/>
                <w:sz w:val="72"/>
                <w:szCs w:val="72"/>
              </w:rPr>
              <w:tab/>
            </w:r>
            <w:r w:rsidRPr="00F441BB">
              <w:rPr>
                <w:rFonts w:ascii="Arial Black" w:hAnsi="Arial Black" w:cs="Cambria"/>
                <w:sz w:val="72"/>
                <w:szCs w:val="72"/>
              </w:rPr>
              <w:t>как</w:t>
            </w:r>
            <w:r>
              <w:rPr>
                <w:rFonts w:ascii="Arial Black" w:hAnsi="Arial Black" w:cs="Cambria"/>
                <w:sz w:val="72"/>
                <w:szCs w:val="72"/>
              </w:rPr>
              <w:tab/>
            </w:r>
          </w:p>
          <w:p w:rsidR="00F441BB" w:rsidRDefault="00F441BB" w:rsidP="00F441BB">
            <w:pPr>
              <w:jc w:val="center"/>
            </w:pPr>
            <w:r w:rsidRPr="00F441BB">
              <w:rPr>
                <w:rFonts w:ascii="Arial Black" w:hAnsi="Arial Black" w:cs="Cambria"/>
                <w:sz w:val="72"/>
                <w:szCs w:val="72"/>
              </w:rPr>
              <w:t>с</w:t>
            </w:r>
            <w:r w:rsidRPr="00F441BB">
              <w:rPr>
                <w:rFonts w:ascii="Arial Black" w:hAnsi="Arial Black"/>
                <w:sz w:val="72"/>
                <w:szCs w:val="72"/>
              </w:rPr>
              <w:t xml:space="preserve"> </w:t>
            </w:r>
            <w:r w:rsidRPr="00F441BB">
              <w:rPr>
                <w:rFonts w:ascii="Arial Black" w:hAnsi="Arial Black" w:cs="Cambria"/>
                <w:sz w:val="72"/>
                <w:szCs w:val="72"/>
              </w:rPr>
              <w:t>ним</w:t>
            </w:r>
            <w:r w:rsidRPr="00F441BB">
              <w:rPr>
                <w:rFonts w:ascii="Arial Black" w:hAnsi="Arial Black"/>
                <w:sz w:val="72"/>
                <w:szCs w:val="72"/>
              </w:rPr>
              <w:t xml:space="preserve"> </w:t>
            </w:r>
            <w:r w:rsidRPr="00F441BB">
              <w:rPr>
                <w:rFonts w:ascii="Arial Black" w:hAnsi="Arial Black" w:cs="Cambria"/>
                <w:sz w:val="72"/>
                <w:szCs w:val="72"/>
              </w:rPr>
              <w:t>жить</w:t>
            </w:r>
            <w:r w:rsidRPr="00F441BB">
              <w:rPr>
                <w:rFonts w:ascii="Arial Black" w:hAnsi="Arial Black"/>
                <w:sz w:val="72"/>
                <w:szCs w:val="72"/>
              </w:rPr>
              <w:t>?</w:t>
            </w:r>
          </w:p>
        </w:tc>
      </w:tr>
      <w:tr w:rsidR="004C48E8" w:rsidTr="00B94A7C">
        <w:trPr>
          <w:trHeight w:val="10763"/>
        </w:trPr>
        <w:tc>
          <w:tcPr>
            <w:tcW w:w="8125" w:type="dxa"/>
            <w:shd w:val="clear" w:color="auto" w:fill="FFFF99"/>
          </w:tcPr>
          <w:p w:rsidR="00F441BB" w:rsidRDefault="00F441BB"/>
          <w:p w:rsidR="004C48E8" w:rsidRPr="00BE6215" w:rsidRDefault="00F441BB" w:rsidP="004C48E8">
            <w:pPr>
              <w:pStyle w:val="a4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81836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</wp:posOffset>
                  </wp:positionV>
                  <wp:extent cx="2514929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436" y="21308"/>
                      <wp:lineTo x="21436" y="0"/>
                      <wp:lineTo x="0" y="0"/>
                    </wp:wrapPolygon>
                  </wp:wrapTight>
                  <wp:docPr id="2" name="Рисунок 2" descr="https://skindiary.ru/wp-content/uploads/2017/12/xd341f51c-4795-4b05-8d95-5627d18d24d8.jpg.pagespeed.ic_.wS5oCJSB7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kindiary.ru/wp-content/uploads/2017/12/xd341f51c-4795-4b05-8d95-5627d18d24d8.jpg.pagespeed.ic_.wS5oCJSB7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929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48E8">
              <w:rPr>
                <w:color w:val="4B4B4B"/>
                <w:sz w:val="28"/>
                <w:szCs w:val="28"/>
                <w:shd w:val="clear" w:color="auto" w:fill="FFFFFF"/>
              </w:rPr>
              <w:t xml:space="preserve">    </w:t>
            </w:r>
            <w:r w:rsidRPr="00BE6215">
              <w:rPr>
                <w:sz w:val="28"/>
                <w:szCs w:val="28"/>
                <w:shd w:val="clear" w:color="auto" w:fill="FFFFFF"/>
              </w:rPr>
              <w:t>Псориаз, или чешуйчатый лишай, относится к числу наиболее распространенных хронических воспалительных заболеваний кожи. Псориаз может возникнуть в любом возрасте, в том числе и у ребенка, но чаще всего начало заболевания приходится на 16–25 лет. В процентном отношении псориазом одинаково поражаются как женщины, так и мужчины.</w:t>
            </w:r>
          </w:p>
          <w:p w:rsidR="004C48E8" w:rsidRPr="00BE6215" w:rsidRDefault="00F441BB" w:rsidP="004C48E8">
            <w:pPr>
              <w:pStyle w:val="a4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BE621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C48E8" w:rsidRPr="00BE6215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BE6215">
              <w:rPr>
                <w:sz w:val="28"/>
                <w:szCs w:val="28"/>
                <w:shd w:val="clear" w:color="auto" w:fill="FFFFFF"/>
              </w:rPr>
              <w:t>Для него характерно хроническое течение с периодами обострения и ремиссии. В патогенезе основную роль играет наследственность, нарушения иммунной системы, а также разные провоцирующие факторы. Характеризуется псориаз нарушением регенерации клеток кожи, они размножаются настолько усиленно, что не успевают отмирать, вследствие чего на коже появляются шелушащиеся папулезные высыпания.</w:t>
            </w:r>
          </w:p>
          <w:p w:rsidR="00E81836" w:rsidRPr="00BE6215" w:rsidRDefault="004C48E8" w:rsidP="004C48E8">
            <w:pPr>
              <w:pStyle w:val="a4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 w:rsidRPr="00BE6215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="00F441BB" w:rsidRPr="00BE6215">
              <w:rPr>
                <w:sz w:val="28"/>
                <w:szCs w:val="28"/>
                <w:shd w:val="clear" w:color="auto" w:fill="FFFFFF"/>
              </w:rPr>
              <w:t xml:space="preserve"> Генетическая предрасположенность псориаза давно научно отслежена. Так у ребенка, родители которого не подвержены этому заболеванию шанс проявления болезни составляет 12%, если хоть один из родителей болеет псориазом, риск проявления болезни возрастает до 25%.</w:t>
            </w:r>
            <w:r w:rsidR="00E81836" w:rsidRPr="00BE621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81836" w:rsidRPr="00BE6215">
              <w:rPr>
                <w:rFonts w:eastAsia="Times New Roman"/>
                <w:sz w:val="28"/>
                <w:szCs w:val="28"/>
                <w:lang w:eastAsia="ru-RU"/>
              </w:rPr>
              <w:t>Кроме генетической предрасположенности на проявления псориаза влияют еще и внешние провоцирующие факторы:</w:t>
            </w:r>
          </w:p>
          <w:p w:rsidR="00E81836" w:rsidRPr="00E81836" w:rsidRDefault="00E81836" w:rsidP="00E81836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рентгеновское и солнечное облучение,</w:t>
            </w:r>
            <w:r w:rsidRPr="00BE6215">
              <w:rPr>
                <w:noProof/>
                <w:lang w:eastAsia="ru-RU"/>
              </w:rPr>
              <w:t xml:space="preserve"> </w:t>
            </w:r>
            <w:r w:rsidRPr="00BE6215">
              <w:rPr>
                <w:noProof/>
                <w:lang w:eastAsia="ru-RU"/>
              </w:rPr>
              <w:drawing>
                <wp:inline distT="0" distB="0" distL="0" distR="0" wp14:anchorId="20198E0E" wp14:editId="0F6B7B24">
                  <wp:extent cx="314325" cy="230504"/>
                  <wp:effectExtent l="0" t="0" r="0" b="0"/>
                  <wp:docPr id="3" name="Рисунок 3" descr="https://banner2.cleanpng.com/20171128/5dc/sun-transparent-png-clip-art-5a1d0315e64886.8402526515118507739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anner2.cleanpng.com/20171128/5dc/sun-transparent-png-clip-art-5a1d0315e64886.8402526515118507739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46" cy="23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836" w:rsidRPr="00E81836" w:rsidRDefault="00E81836" w:rsidP="00E81836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воспалительные болезни кожи,</w:t>
            </w:r>
            <w:r w:rsidRPr="00BE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215">
              <w:rPr>
                <w:noProof/>
                <w:lang w:eastAsia="ru-RU"/>
              </w:rPr>
              <w:drawing>
                <wp:inline distT="0" distB="0" distL="0" distR="0" wp14:anchorId="295FD591" wp14:editId="5C90EC13">
                  <wp:extent cx="254847" cy="190500"/>
                  <wp:effectExtent l="0" t="0" r="0" b="0"/>
                  <wp:docPr id="4" name="Рисунок 4" descr="https://img2.freepng.ru/20180409/pdw/kisspng-emoji-sticker-pink-flowers-clip-art-blushing-emoji-5acb9c82b12151.2879996315232933147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2.freepng.ru/20180409/pdw/kisspng-emoji-sticker-pink-flowers-clip-art-blushing-emoji-5acb9c82b12151.2879996315232933147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1309" cy="20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81836" w:rsidRPr="00E81836" w:rsidRDefault="00E81836" w:rsidP="00E81836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химических веществ,</w:t>
            </w:r>
            <w:r w:rsidRPr="00BE6215">
              <w:rPr>
                <w:noProof/>
                <w:lang w:eastAsia="ru-RU"/>
              </w:rPr>
              <w:t xml:space="preserve"> </w:t>
            </w:r>
            <w:r w:rsidRPr="00BE6215">
              <w:rPr>
                <w:noProof/>
                <w:lang w:eastAsia="ru-RU"/>
              </w:rPr>
              <w:drawing>
                <wp:inline distT="0" distB="0" distL="0" distR="0" wp14:anchorId="3EBD6AEC" wp14:editId="03BBA74B">
                  <wp:extent cx="228600" cy="228600"/>
                  <wp:effectExtent l="0" t="0" r="0" b="0"/>
                  <wp:docPr id="5" name="Рисунок 5" descr="https://png.pngtree.com/png-clipart/20190515/original/pngtree-student-chemistry-class-experiment-test-tube-png-image_3838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ng.pngtree.com/png-clipart/20190515/original/pngtree-student-chemistry-class-experiment-test-tube-png-image_3838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836" w:rsidRPr="00E81836" w:rsidRDefault="00E81836" w:rsidP="00E81836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гормональные нарушения.</w:t>
            </w:r>
            <w:r w:rsidR="004C48E8" w:rsidRPr="00BE6215">
              <w:rPr>
                <w:noProof/>
                <w:lang w:eastAsia="ru-RU"/>
              </w:rPr>
              <w:t xml:space="preserve"> </w:t>
            </w:r>
            <w:r w:rsidR="004C48E8" w:rsidRPr="00BE6215">
              <w:rPr>
                <w:noProof/>
                <w:lang w:eastAsia="ru-RU"/>
              </w:rPr>
              <w:drawing>
                <wp:inline distT="0" distB="0" distL="0" distR="0" wp14:anchorId="510DADA1" wp14:editId="14CADAF9">
                  <wp:extent cx="542925" cy="232682"/>
                  <wp:effectExtent l="0" t="0" r="0" b="0"/>
                  <wp:docPr id="9" name="Рисунок 9" descr="https://ilifes.ru/wp-content/uploads/2019/05/s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lifes.ru/wp-content/uploads/2019/05/s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3967" cy="23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1BB" w:rsidRDefault="00F441BB"/>
        </w:tc>
        <w:tc>
          <w:tcPr>
            <w:tcW w:w="8177" w:type="dxa"/>
            <w:shd w:val="clear" w:color="auto" w:fill="FFFF99"/>
          </w:tcPr>
          <w:p w:rsidR="00F441BB" w:rsidRDefault="00F441BB"/>
          <w:p w:rsidR="00F441BB" w:rsidRPr="00BE6215" w:rsidRDefault="004C48E8" w:rsidP="004C48E8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BE6215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Псориаз -  болезнь управляемая</w:t>
            </w:r>
          </w:p>
          <w:p w:rsidR="003B1A33" w:rsidRDefault="00BE6215" w:rsidP="004C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C48E8" w:rsidRPr="00BE62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48E8">
              <w:rPr>
                <w:rFonts w:ascii="Times New Roman" w:hAnsi="Times New Roman" w:cs="Times New Roman"/>
                <w:sz w:val="28"/>
                <w:szCs w:val="28"/>
              </w:rPr>
              <w:t xml:space="preserve">уществуют разнообразные методы лечения псориаза. Появление нового метода лечения или медикамента </w:t>
            </w:r>
            <w:r w:rsidR="003B1A33">
              <w:rPr>
                <w:rFonts w:ascii="Times New Roman" w:hAnsi="Times New Roman" w:cs="Times New Roman"/>
                <w:sz w:val="28"/>
                <w:szCs w:val="28"/>
              </w:rPr>
              <w:t>не означает, что этот метод или медикамент лучше, чем предшествующие. Поэтому не стоит поддаваться рекламе, которая часто звучит по радио, телевидению, или исходит из газет, журналов, а нужно обратиться к специалисту, который выберет подходящую методику, с учетом формы и тяжести заболевания, расположения высыпаний, наличия сопутствующих заболеваний, пола и возраста.</w:t>
            </w:r>
          </w:p>
          <w:p w:rsidR="00BE6215" w:rsidRDefault="00BE6215" w:rsidP="004C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B1A33">
              <w:rPr>
                <w:rFonts w:ascii="Times New Roman" w:hAnsi="Times New Roman" w:cs="Times New Roman"/>
                <w:sz w:val="28"/>
                <w:szCs w:val="28"/>
              </w:rPr>
              <w:t>Для лечения псориаза применяют лекарственные препараты, которые наносятся непосредственно на кожу (местная терапия) и препараты, которые принимаются внутрь или назначают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виде инъекций (системная терапия).</w:t>
            </w:r>
          </w:p>
          <w:p w:rsidR="004C48E8" w:rsidRPr="004C48E8" w:rsidRDefault="00BE6215" w:rsidP="004C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Для успешного лечения необходимо четко выполнять все рекомендации врача, самостоятельно не изменять схему лечения.</w:t>
            </w:r>
            <w:r w:rsidR="003B1A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41BB" w:rsidRPr="00F441BB" w:rsidRDefault="00F441BB" w:rsidP="00F441BB"/>
          <w:p w:rsidR="00700513" w:rsidRDefault="00700513" w:rsidP="00BE6215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</w:p>
          <w:p w:rsidR="00F441BB" w:rsidRPr="00BE6215" w:rsidRDefault="00700513" w:rsidP="00BE6215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B2EED20" wp14:editId="024BE60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210185</wp:posOffset>
                  </wp:positionV>
                  <wp:extent cx="185420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10" name="Рисунок 10" descr="https://fs00.infourok.ru/images/doc/293/292963/img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00.infourok.ru/images/doc/293/292963/img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6215" w:rsidRPr="00BE6215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Влияние алкоголя и курения</w:t>
            </w:r>
          </w:p>
          <w:p w:rsidR="00F441BB" w:rsidRPr="00700513" w:rsidRDefault="00BE6215" w:rsidP="00F4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513">
              <w:rPr>
                <w:rFonts w:ascii="Times New Roman" w:hAnsi="Times New Roman" w:cs="Times New Roman"/>
                <w:sz w:val="28"/>
                <w:szCs w:val="28"/>
              </w:rPr>
              <w:t xml:space="preserve">Отмечено, что алкоголь может спровоцировать обострение псориаза. Особенно это относится к пиву, шампанскому, крепким спиртным напиткам.  </w:t>
            </w:r>
            <w:proofErr w:type="gramStart"/>
            <w:r w:rsidRPr="00700513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proofErr w:type="gramEnd"/>
            <w:r w:rsidRPr="00700513">
              <w:rPr>
                <w:rFonts w:ascii="Times New Roman" w:hAnsi="Times New Roman" w:cs="Times New Roman"/>
                <w:sz w:val="28"/>
                <w:szCs w:val="28"/>
              </w:rPr>
              <w:t xml:space="preserve"> ученных показали, что риск возникновения псориаза у бывших курильщиков на 37%</w:t>
            </w:r>
            <w:r w:rsidR="00700513" w:rsidRPr="00700513">
              <w:rPr>
                <w:rFonts w:ascii="Times New Roman" w:hAnsi="Times New Roman" w:cs="Times New Roman"/>
                <w:sz w:val="28"/>
                <w:szCs w:val="28"/>
              </w:rPr>
              <w:t xml:space="preserve">, а у ныне курящих- на 78% выше, чем у некурящих. Доказано, что у так называемых «пассивных» курильщиков, вынужденных вдыхать сигаретный дым, так же увеличивается риск заболевания кожи. </w:t>
            </w:r>
          </w:p>
          <w:p w:rsidR="00F441BB" w:rsidRPr="00700513" w:rsidRDefault="00F441BB" w:rsidP="00F4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BB" w:rsidRDefault="00F441BB" w:rsidP="00F441BB"/>
          <w:p w:rsidR="00F441BB" w:rsidRDefault="00F441BB" w:rsidP="00F441BB"/>
          <w:p w:rsidR="00F441BB" w:rsidRDefault="00F441BB" w:rsidP="00F441BB"/>
          <w:p w:rsidR="00F441BB" w:rsidRPr="00F441BB" w:rsidRDefault="00F441BB" w:rsidP="00F441BB">
            <w:pPr>
              <w:tabs>
                <w:tab w:val="left" w:pos="2175"/>
              </w:tabs>
            </w:pPr>
            <w:r>
              <w:tab/>
            </w:r>
          </w:p>
        </w:tc>
      </w:tr>
    </w:tbl>
    <w:p w:rsidR="0008180C" w:rsidRDefault="0008180C"/>
    <w:sectPr w:rsidR="0008180C" w:rsidSect="00F441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36EAE"/>
    <w:multiLevelType w:val="multilevel"/>
    <w:tmpl w:val="9D80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43"/>
    <w:rsid w:val="0008180C"/>
    <w:rsid w:val="003B1A33"/>
    <w:rsid w:val="004C48E8"/>
    <w:rsid w:val="00700513"/>
    <w:rsid w:val="00B94A7C"/>
    <w:rsid w:val="00BE6215"/>
    <w:rsid w:val="00CE3643"/>
    <w:rsid w:val="00CF397E"/>
    <w:rsid w:val="00E81836"/>
    <w:rsid w:val="00F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B56CE-4045-4286-A7B0-7172B6A2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83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cp:lastPrinted>2020-10-29T09:06:00Z</cp:lastPrinted>
  <dcterms:created xsi:type="dcterms:W3CDTF">2020-10-29T07:50:00Z</dcterms:created>
  <dcterms:modified xsi:type="dcterms:W3CDTF">2020-10-29T09:08:00Z</dcterms:modified>
</cp:coreProperties>
</file>