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92" w:rsidRDefault="00AD4E92" w:rsidP="00340C0E">
      <w:pPr>
        <w:autoSpaceDE w:val="0"/>
        <w:autoSpaceDN w:val="0"/>
        <w:adjustRightInd w:val="0"/>
        <w:spacing w:after="0" w:line="240" w:lineRule="auto"/>
        <w:rPr>
          <w:rFonts w:ascii="Times New Roman" w:hAnsi="Times New Roman"/>
          <w:b/>
          <w:sz w:val="30"/>
          <w:szCs w:val="30"/>
        </w:rPr>
      </w:pPr>
    </w:p>
    <w:p w:rsidR="00AD4E92" w:rsidRDefault="00AD4E92" w:rsidP="00AD4E92">
      <w:pPr>
        <w:spacing w:after="0" w:line="257" w:lineRule="auto"/>
        <w:rPr>
          <w:rFonts w:ascii="Times New Roman" w:hAnsi="Times New Roman"/>
          <w:sz w:val="30"/>
          <w:szCs w:val="30"/>
        </w:rPr>
      </w:pPr>
      <w:r w:rsidRPr="000D5974">
        <w:rPr>
          <w:rFonts w:ascii="Times New Roman" w:hAnsi="Times New Roman"/>
          <w:sz w:val="30"/>
          <w:szCs w:val="30"/>
        </w:rPr>
        <w:t xml:space="preserve">МАТЕРИАЛЫ </w:t>
      </w:r>
    </w:p>
    <w:p w:rsidR="00AD4E92" w:rsidRDefault="00AD4E92" w:rsidP="00AD4E92">
      <w:pPr>
        <w:spacing w:after="0" w:line="257" w:lineRule="auto"/>
        <w:rPr>
          <w:rFonts w:ascii="Times New Roman" w:hAnsi="Times New Roman"/>
          <w:sz w:val="30"/>
          <w:szCs w:val="30"/>
        </w:rPr>
      </w:pPr>
      <w:r w:rsidRPr="000D5974">
        <w:rPr>
          <w:rFonts w:ascii="Times New Roman" w:hAnsi="Times New Roman"/>
          <w:sz w:val="30"/>
          <w:szCs w:val="30"/>
        </w:rPr>
        <w:t xml:space="preserve">для членов информационно-пропагандистских групп </w:t>
      </w:r>
    </w:p>
    <w:p w:rsidR="00AD4E92" w:rsidRDefault="00AD4E92" w:rsidP="00AD4E92">
      <w:pPr>
        <w:spacing w:after="0" w:line="257" w:lineRule="auto"/>
        <w:rPr>
          <w:rFonts w:ascii="Times New Roman" w:hAnsi="Times New Roman"/>
          <w:sz w:val="30"/>
          <w:szCs w:val="30"/>
        </w:rPr>
      </w:pPr>
      <w:r w:rsidRPr="000D5974">
        <w:rPr>
          <w:rFonts w:ascii="Times New Roman" w:hAnsi="Times New Roman"/>
          <w:sz w:val="30"/>
          <w:szCs w:val="30"/>
        </w:rPr>
        <w:t>(май</w:t>
      </w:r>
      <w:r>
        <w:rPr>
          <w:rFonts w:ascii="Times New Roman" w:hAnsi="Times New Roman"/>
          <w:sz w:val="30"/>
          <w:szCs w:val="30"/>
        </w:rPr>
        <w:t>,</w:t>
      </w:r>
      <w:r w:rsidRPr="000D5974">
        <w:rPr>
          <w:rFonts w:ascii="Times New Roman" w:hAnsi="Times New Roman"/>
          <w:sz w:val="30"/>
          <w:szCs w:val="30"/>
        </w:rPr>
        <w:t xml:space="preserve"> 2023 г.) </w:t>
      </w:r>
    </w:p>
    <w:p w:rsidR="00AD4E92" w:rsidRDefault="00AD4E92" w:rsidP="00706261">
      <w:pPr>
        <w:autoSpaceDE w:val="0"/>
        <w:autoSpaceDN w:val="0"/>
        <w:adjustRightInd w:val="0"/>
        <w:spacing w:after="0" w:line="240" w:lineRule="auto"/>
        <w:jc w:val="center"/>
        <w:rPr>
          <w:rFonts w:ascii="Times New Roman" w:hAnsi="Times New Roman"/>
          <w:b/>
          <w:sz w:val="30"/>
          <w:szCs w:val="30"/>
        </w:rPr>
      </w:pPr>
    </w:p>
    <w:p w:rsidR="00AD578F" w:rsidRDefault="00AD578F" w:rsidP="00706261">
      <w:pPr>
        <w:autoSpaceDE w:val="0"/>
        <w:autoSpaceDN w:val="0"/>
        <w:adjustRightInd w:val="0"/>
        <w:spacing w:after="0" w:line="240" w:lineRule="auto"/>
        <w:jc w:val="center"/>
        <w:rPr>
          <w:rFonts w:ascii="Times New Roman" w:hAnsi="Times New Roman"/>
          <w:b/>
          <w:sz w:val="30"/>
          <w:szCs w:val="30"/>
        </w:rPr>
      </w:pPr>
    </w:p>
    <w:p w:rsidR="00AD578F" w:rsidRPr="00AD578F" w:rsidRDefault="00AD578F" w:rsidP="00706261">
      <w:pPr>
        <w:autoSpaceDE w:val="0"/>
        <w:autoSpaceDN w:val="0"/>
        <w:adjustRightInd w:val="0"/>
        <w:spacing w:after="0" w:line="240" w:lineRule="auto"/>
        <w:jc w:val="center"/>
        <w:rPr>
          <w:rFonts w:ascii="Times New Roman" w:hAnsi="Times New Roman"/>
          <w:sz w:val="30"/>
          <w:szCs w:val="30"/>
        </w:rPr>
      </w:pPr>
      <w:r w:rsidRPr="00AD578F">
        <w:rPr>
          <w:rFonts w:ascii="Times New Roman" w:hAnsi="Times New Roman"/>
          <w:sz w:val="30"/>
          <w:szCs w:val="30"/>
        </w:rPr>
        <w:t>Меры борьбы с коррупцией</w:t>
      </w:r>
    </w:p>
    <w:p w:rsidR="00AD578F" w:rsidRPr="00AD578F" w:rsidRDefault="00AD578F" w:rsidP="00706261">
      <w:pPr>
        <w:autoSpaceDE w:val="0"/>
        <w:autoSpaceDN w:val="0"/>
        <w:adjustRightInd w:val="0"/>
        <w:spacing w:after="0" w:line="240" w:lineRule="auto"/>
        <w:jc w:val="center"/>
        <w:rPr>
          <w:rFonts w:ascii="Times New Roman" w:hAnsi="Times New Roman"/>
          <w:sz w:val="30"/>
          <w:szCs w:val="30"/>
        </w:rPr>
      </w:pPr>
    </w:p>
    <w:p w:rsidR="00AD578F" w:rsidRPr="00AD578F" w:rsidRDefault="00AD578F" w:rsidP="00706261">
      <w:pPr>
        <w:autoSpaceDE w:val="0"/>
        <w:autoSpaceDN w:val="0"/>
        <w:adjustRightInd w:val="0"/>
        <w:spacing w:after="0" w:line="240" w:lineRule="auto"/>
        <w:jc w:val="center"/>
        <w:rPr>
          <w:rFonts w:ascii="Times New Roman" w:hAnsi="Times New Roman"/>
          <w:sz w:val="30"/>
          <w:szCs w:val="30"/>
        </w:rPr>
      </w:pPr>
      <w:r w:rsidRPr="00AD578F">
        <w:rPr>
          <w:rFonts w:ascii="Times New Roman" w:hAnsi="Times New Roman"/>
          <w:sz w:val="30"/>
          <w:szCs w:val="30"/>
        </w:rPr>
        <w:t>(</w:t>
      </w:r>
      <w:proofErr w:type="gramStart"/>
      <w:r w:rsidR="00340C0E">
        <w:rPr>
          <w:rFonts w:ascii="Times New Roman" w:hAnsi="Times New Roman"/>
          <w:sz w:val="30"/>
          <w:szCs w:val="30"/>
        </w:rPr>
        <w:t>включая</w:t>
      </w:r>
      <w:proofErr w:type="gramEnd"/>
      <w:r w:rsidR="00340C0E">
        <w:rPr>
          <w:rFonts w:ascii="Times New Roman" w:hAnsi="Times New Roman"/>
          <w:sz w:val="30"/>
          <w:szCs w:val="30"/>
        </w:rPr>
        <w:t xml:space="preserve"> </w:t>
      </w:r>
      <w:r w:rsidRPr="00AD578F">
        <w:rPr>
          <w:rFonts w:ascii="Times New Roman" w:hAnsi="Times New Roman"/>
          <w:sz w:val="30"/>
          <w:szCs w:val="30"/>
        </w:rPr>
        <w:t>изменения в Законе о борьбе с коррупцией)</w:t>
      </w:r>
    </w:p>
    <w:p w:rsidR="00AD4E92" w:rsidRPr="00AD578F" w:rsidRDefault="00AD4E92" w:rsidP="00AD578F">
      <w:pPr>
        <w:autoSpaceDE w:val="0"/>
        <w:autoSpaceDN w:val="0"/>
        <w:adjustRightInd w:val="0"/>
        <w:spacing w:after="0" w:line="240" w:lineRule="auto"/>
        <w:rPr>
          <w:rFonts w:ascii="Times New Roman" w:hAnsi="Times New Roman"/>
          <w:sz w:val="30"/>
          <w:szCs w:val="30"/>
        </w:rPr>
      </w:pPr>
    </w:p>
    <w:p w:rsidR="00706261" w:rsidRPr="00AD578F" w:rsidRDefault="00706261" w:rsidP="00706261">
      <w:pPr>
        <w:autoSpaceDE w:val="0"/>
        <w:autoSpaceDN w:val="0"/>
        <w:adjustRightInd w:val="0"/>
        <w:spacing w:after="0" w:line="240" w:lineRule="auto"/>
        <w:jc w:val="center"/>
        <w:rPr>
          <w:rFonts w:ascii="Times New Roman" w:hAnsi="Times New Roman"/>
          <w:sz w:val="30"/>
          <w:szCs w:val="30"/>
        </w:rPr>
      </w:pPr>
      <w:r w:rsidRPr="00AD578F">
        <w:rPr>
          <w:rFonts w:ascii="Times New Roman" w:hAnsi="Times New Roman"/>
          <w:sz w:val="30"/>
          <w:szCs w:val="30"/>
        </w:rPr>
        <w:t xml:space="preserve">(Закон Республики Беларусь от 30 декабря 2022 г. № 232-З                   </w:t>
      </w:r>
      <w:proofErr w:type="gramStart"/>
      <w:r w:rsidRPr="00AD578F">
        <w:rPr>
          <w:rFonts w:ascii="Times New Roman" w:hAnsi="Times New Roman"/>
          <w:sz w:val="30"/>
          <w:szCs w:val="30"/>
        </w:rPr>
        <w:t xml:space="preserve">   «</w:t>
      </w:r>
      <w:proofErr w:type="gramEnd"/>
      <w:r w:rsidRPr="00AD578F">
        <w:rPr>
          <w:rFonts w:ascii="Times New Roman" w:hAnsi="Times New Roman"/>
          <w:sz w:val="30"/>
          <w:szCs w:val="30"/>
        </w:rPr>
        <w:t>Об изменении законов по вопросам борьбы с коррупцией»)</w:t>
      </w:r>
    </w:p>
    <w:p w:rsidR="00AD4E92" w:rsidRDefault="00AD4E92" w:rsidP="00706261">
      <w:pPr>
        <w:autoSpaceDE w:val="0"/>
        <w:autoSpaceDN w:val="0"/>
        <w:adjustRightInd w:val="0"/>
        <w:spacing w:after="0" w:line="240" w:lineRule="auto"/>
        <w:jc w:val="center"/>
        <w:rPr>
          <w:rFonts w:ascii="Times New Roman" w:hAnsi="Times New Roman"/>
          <w:b/>
          <w:sz w:val="30"/>
          <w:szCs w:val="30"/>
        </w:rPr>
      </w:pPr>
    </w:p>
    <w:p w:rsidR="00AD4E92" w:rsidRPr="00AD4E92" w:rsidRDefault="00AD4E92" w:rsidP="00706261">
      <w:pPr>
        <w:autoSpaceDE w:val="0"/>
        <w:autoSpaceDN w:val="0"/>
        <w:adjustRightInd w:val="0"/>
        <w:spacing w:after="0" w:line="240" w:lineRule="auto"/>
        <w:jc w:val="center"/>
        <w:rPr>
          <w:rFonts w:ascii="Times New Roman" w:hAnsi="Times New Roman"/>
          <w:i/>
          <w:sz w:val="30"/>
          <w:szCs w:val="30"/>
        </w:rPr>
      </w:pPr>
      <w:r w:rsidRPr="00AD4E92">
        <w:rPr>
          <w:rFonts w:ascii="Times New Roman" w:hAnsi="Times New Roman"/>
          <w:i/>
          <w:sz w:val="30"/>
          <w:szCs w:val="30"/>
        </w:rPr>
        <w:t>(дополнительная тема)</w:t>
      </w:r>
    </w:p>
    <w:p w:rsidR="00706261" w:rsidRDefault="00706261" w:rsidP="00706261">
      <w:pPr>
        <w:pStyle w:val="2"/>
        <w:spacing w:line="280" w:lineRule="exact"/>
        <w:jc w:val="right"/>
        <w:rPr>
          <w:bCs/>
          <w:i/>
          <w:sz w:val="30"/>
          <w:szCs w:val="30"/>
        </w:rPr>
      </w:pP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Коррупция является серьезной общественно-политической проблемой и признана одним из источников угроз национальной безопасности. В настоящее время наибольшее количество коррупционных преступлений выявляется в промышленности, сельском хозяйстве, торговле, строительстве, а также в сфере государственного управления. Наряду с выявлением и пресечением преступлений особое значение имеет их профилактика. Именно на предупреждение коррупции нацелены организационные и правовые меры, принимаемые в стране в последние годы.</w:t>
      </w:r>
    </w:p>
    <w:p w:rsidR="00F20809"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04.01.2023 опубликован Закон Республики Беларусь от 30.12.2022 № 232-З «Об изменении законов по вопросам борьбы с коррупцией</w:t>
      </w:r>
    </w:p>
    <w:p w:rsidR="00F20809" w:rsidRDefault="00F20809"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 </w:t>
      </w:r>
    </w:p>
    <w:p w:rsidR="00706261" w:rsidRDefault="00F20809"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 </w:t>
      </w:r>
      <w:bookmarkStart w:id="0" w:name="_GoBack"/>
      <w:bookmarkEnd w:id="0"/>
      <w:r w:rsidR="00706261">
        <w:rPr>
          <w:rFonts w:ascii="Times New Roman" w:hAnsi="Times New Roman"/>
          <w:sz w:val="30"/>
          <w:szCs w:val="30"/>
        </w:rPr>
        <w:t>(далее – Закон № 232-З). Основные изменения и дополнения внесены в Закон Республики Беларусь от 15.07.2015 № 305-З «О борьбе с коррупцией» (далее – Закон N 305-З).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По этой причине положения Закона № 232-З направлены на повышение эффективности противодействия коррупции, оптимизацию взаимодействия госорганов и иных организаций в сфере профилактики коррупции, упрощение порядка декларирования доходов и имущества государственными должностными лицами с учетом практики применения законодательства, предложений госорганов и иных организаций, граждан, зарубежного опыта, положений ратифицированных Республикой Беларусь международных правовых актов в этой сфере.</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Следует сказать, что изначально Закон № 232-З носил комплексный характер и касался вопросов не только профилактики, но и ответственности за совершение коррупционных деяний (преступлений </w:t>
      </w:r>
      <w:r>
        <w:rPr>
          <w:rFonts w:ascii="Times New Roman" w:hAnsi="Times New Roman"/>
          <w:sz w:val="30"/>
          <w:szCs w:val="30"/>
        </w:rPr>
        <w:lastRenderedPageBreak/>
        <w:t xml:space="preserve">и правонарушений). Однако впоследствии нормы о совершенствовании уголовной ответственности за коррупцию были выделены из проекта Закона № 232-З и реализованы при комплексной корректировке уголовного закона (УК), а законодательные инициативы об установлении административной ответственности </w:t>
      </w:r>
      <w:proofErr w:type="spellStart"/>
      <w:r>
        <w:rPr>
          <w:rFonts w:ascii="Times New Roman" w:hAnsi="Times New Roman"/>
          <w:sz w:val="30"/>
          <w:szCs w:val="30"/>
        </w:rPr>
        <w:t>юрлиц</w:t>
      </w:r>
      <w:proofErr w:type="spellEnd"/>
      <w:r>
        <w:rPr>
          <w:rFonts w:ascii="Times New Roman" w:hAnsi="Times New Roman"/>
          <w:sz w:val="30"/>
          <w:szCs w:val="30"/>
        </w:rPr>
        <w:t xml:space="preserve"> за коррупцию – при принятии нового КоАП.</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Принятые изменения в большей части не связаны с корректировкой концептуальных положений законодательства о борьбе с коррупцией, а направлены на совершенствование профилактических антикоррупционных мероприятий и имеющихся механизмов, оптимизацию взаимодействия различных субъектов в антикоррупционной сфере.</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В Закон № 305-З вводятся определения терминов «организационно-распорядительные и административно-хозяйственные обязанности», что имеет значение при характеристике субъекта коррупционного правонарушения и привлечении лица к ответственности, также предлагается дефиниция лиц, которые уполномочены в установленном порядке совершать юридически значимые действия.</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Соответственно, Законом № 232-З предусмотрено содержание указанных понятий:</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организационно-распорядительные обязанности – полномочия по руководству деятельностью организаций, их структурных подразделений, расстановке и подбору кадров, организации службы (труда) работников, поддержанию дисциплины, применению мер поощрения и наложению дисциплинарных взысканий (</w:t>
      </w:r>
      <w:proofErr w:type="spellStart"/>
      <w:r>
        <w:rPr>
          <w:rFonts w:ascii="Times New Roman" w:hAnsi="Times New Roman"/>
          <w:sz w:val="30"/>
          <w:szCs w:val="30"/>
        </w:rPr>
        <w:t>абз</w:t>
      </w:r>
      <w:proofErr w:type="spellEnd"/>
      <w:r>
        <w:rPr>
          <w:rFonts w:ascii="Times New Roman" w:hAnsi="Times New Roman"/>
          <w:sz w:val="30"/>
          <w:szCs w:val="30"/>
        </w:rPr>
        <w:t>. 11 п. 1 ст. 4);</w:t>
      </w:r>
    </w:p>
    <w:p w:rsidR="00706261" w:rsidRDefault="00706261" w:rsidP="00706261">
      <w:pPr>
        <w:spacing w:after="0" w:line="240" w:lineRule="auto"/>
        <w:ind w:firstLine="708"/>
        <w:jc w:val="both"/>
        <w:rPr>
          <w:rFonts w:ascii="Times New Roman" w:hAnsi="Times New Roman"/>
          <w:sz w:val="30"/>
          <w:szCs w:val="30"/>
        </w:rPr>
      </w:pPr>
      <w:proofErr w:type="gramStart"/>
      <w:r>
        <w:rPr>
          <w:rFonts w:ascii="Times New Roman" w:hAnsi="Times New Roman"/>
          <w:sz w:val="30"/>
          <w:szCs w:val="30"/>
        </w:rPr>
        <w:t>административно</w:t>
      </w:r>
      <w:proofErr w:type="gramEnd"/>
      <w:r>
        <w:rPr>
          <w:rFonts w:ascii="Times New Roman" w:hAnsi="Times New Roman"/>
          <w:sz w:val="30"/>
          <w:szCs w:val="30"/>
        </w:rPr>
        <w:t>-хозяйственные обязанности – полномочия по управлению и распоряжению имуществом, организации учета и контроля за отпуском и реализацией материальных ценностей (</w:t>
      </w:r>
      <w:proofErr w:type="spellStart"/>
      <w:r>
        <w:rPr>
          <w:rFonts w:ascii="Times New Roman" w:hAnsi="Times New Roman"/>
          <w:sz w:val="30"/>
          <w:szCs w:val="30"/>
        </w:rPr>
        <w:t>абз</w:t>
      </w:r>
      <w:proofErr w:type="spellEnd"/>
      <w:r>
        <w:rPr>
          <w:rFonts w:ascii="Times New Roman" w:hAnsi="Times New Roman"/>
          <w:sz w:val="30"/>
          <w:szCs w:val="30"/>
        </w:rPr>
        <w:t>. 12 п. 1 ст. 4);</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лица, уполномоченные в установленном порядке на совершение юридически значимых действий, – работники, совершающие действия, в результате которых наступают или могут наступить юридически значимые последствия в виде возникновения, изменения или прекращения правоотношений, субъектами которых являются иные лица (</w:t>
      </w:r>
      <w:proofErr w:type="spellStart"/>
      <w:r>
        <w:rPr>
          <w:rFonts w:ascii="Times New Roman" w:hAnsi="Times New Roman"/>
          <w:sz w:val="30"/>
          <w:szCs w:val="30"/>
        </w:rPr>
        <w:t>абз</w:t>
      </w:r>
      <w:proofErr w:type="spellEnd"/>
      <w:r>
        <w:rPr>
          <w:rFonts w:ascii="Times New Roman" w:hAnsi="Times New Roman"/>
          <w:sz w:val="30"/>
          <w:szCs w:val="30"/>
        </w:rPr>
        <w:t>. 13 п. 1 ст. 4).</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Таким образом, указанные дефиниции акцентируют внимание на сугубо управленческой составляющей, вертикальной связи между руководителем и подчиненным. Следует также отметить, что данные определения фактически дословно взяты из п. 6 - 8 постановления Пленума Верховного Суда от 16.12.2004 N 12 «О судебной практике по </w:t>
      </w:r>
      <w:r>
        <w:rPr>
          <w:rFonts w:ascii="Times New Roman" w:hAnsi="Times New Roman"/>
          <w:sz w:val="30"/>
          <w:szCs w:val="30"/>
        </w:rPr>
        <w:lastRenderedPageBreak/>
        <w:t>делам о преступлениях против интересов службы (ст. 424 - 428 Уголовного кодекса Республики Беларусь)».</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В практической деятельности правоприменительных органов возникало немало трудностей при реализации законодательного ограничения на получение имущества (подарков), что было обусловлено отсутствием в законодательстве определений понятий «сувенир», «протокольное и иное официальное мероприятие». Изначально предусматривалось дать определение тому, что же является подарком и сувениром. Однако, впоследствии от этого шага отказались.</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В итоге понятие «сувенир» исключено из Закона № 305-З и дано определение понятиям «протокольные и иные официальные мероприятия», «подарок, полученный при проведении протокольного и иного официального мероприятия» (</w:t>
      </w:r>
      <w:proofErr w:type="spellStart"/>
      <w:r>
        <w:rPr>
          <w:rFonts w:ascii="Times New Roman" w:hAnsi="Times New Roman"/>
          <w:sz w:val="30"/>
          <w:szCs w:val="30"/>
        </w:rPr>
        <w:t>абз</w:t>
      </w:r>
      <w:proofErr w:type="spellEnd"/>
      <w:r>
        <w:rPr>
          <w:rFonts w:ascii="Times New Roman" w:hAnsi="Times New Roman"/>
          <w:sz w:val="30"/>
          <w:szCs w:val="30"/>
        </w:rPr>
        <w:t>. 14, 15 п. 1 ст. 4 Закона № 232-З), одновременно при этом установлена предельно допустимая стоимость такого подарка в размере, не превышающем 20 базовых величин.</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Таким образом, Закон № 232-З устанавливает ограничения для государственных должностных и приравненных к ним лиц, такие лица не вправе: принимать в связи с исполнением служебных (трудовых) обязанностей имущество или получать другую выгоду в виде работы, услуги для себя или третьих лиц, за исключением случаев, предусмотренных ч. 7 ст. 17 Закона № 305-З (</w:t>
      </w:r>
      <w:proofErr w:type="spellStart"/>
      <w:r>
        <w:rPr>
          <w:rFonts w:ascii="Times New Roman" w:hAnsi="Times New Roman"/>
          <w:sz w:val="30"/>
          <w:szCs w:val="30"/>
        </w:rPr>
        <w:t>абз</w:t>
      </w:r>
      <w:proofErr w:type="spellEnd"/>
      <w:r>
        <w:rPr>
          <w:rFonts w:ascii="Times New Roman" w:hAnsi="Times New Roman"/>
          <w:sz w:val="30"/>
          <w:szCs w:val="30"/>
        </w:rPr>
        <w:t>. 5 п. 9 ст. 4).</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В этой связи не являются нарушениями (</w:t>
      </w:r>
      <w:proofErr w:type="spellStart"/>
      <w:r>
        <w:rPr>
          <w:rFonts w:ascii="Times New Roman" w:hAnsi="Times New Roman"/>
          <w:sz w:val="30"/>
          <w:szCs w:val="30"/>
        </w:rPr>
        <w:t>абз</w:t>
      </w:r>
      <w:proofErr w:type="spellEnd"/>
      <w:r>
        <w:rPr>
          <w:rFonts w:ascii="Times New Roman" w:hAnsi="Times New Roman"/>
          <w:sz w:val="30"/>
          <w:szCs w:val="30"/>
        </w:rPr>
        <w:t>. 16 - 19 п. 9 ст. 4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принятие подарков, полученных при проведении протокольных и иных официальных мероприятий, стоимость каждого из которых не превышает двадцатикратного размера БВ на дату получения такого подарка, цветов;</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получение имущества в связи с исполнением служебных (трудовых) обязанностей, если лицо, его получившее, уведомило в установленном законодательством порядке госорган, иную организацию, в котором (которой) оно проходит службу (работает), о получении такого имущества и безвозмездно сдало его;</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иные случаи, предусмотренные законодательными актами, распоряжениями Президента Республики Беларусь и постановлениями Совета Министров Республики Беларусь (далее – Совмин).</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Заметим в этой связи, что п. 20 постановления Пленума Верховного Суда от 26.06.2003 № 6 «О судебной практике по делам о взяточничестве (ст. 430, 431 и 432 Уголовного Кодекса Республики Беларусь)» определяет: «что не является получением взятки принятие должностным лицом сувениров при проведении протокольных и иных официальных мероприятий, а равно подарков по случаю дня рождения </w:t>
      </w:r>
      <w:r>
        <w:rPr>
          <w:rFonts w:ascii="Times New Roman" w:hAnsi="Times New Roman"/>
          <w:sz w:val="30"/>
          <w:szCs w:val="30"/>
        </w:rPr>
        <w:lastRenderedPageBreak/>
        <w:t>и праздников, если они были вручены должностному лицу без какой-либо обусловленности вознаграждения соответствующими действиями по службе. Если же будет установлено, что под видом подарка передавалась взятка за использование должностным лицом своих служебных полномочий в интересах лица, вручившего подарок, то содеянное квалифицируется как взяточничество независимо от стоимости предмета взятки». Однако, с позиций настоящего времени, хоть это и не является взяточничеством (при определенных условиях), принимать такого рода подарки в связи с исполнением служебных (трудовых) обязанностей запрещено.</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Запрет на дарение подарков свыше указанной стоимости (20 БВ) устанавливается и в гражданском законодательстве (ст. 546 ГК). Данные ограничения не затрагивают получение подарков в частной жизни (семейные, дружеские и иные отношения).</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Важно отметить, что Закон № 232-З дает определение в этой связи и тому, что считать подарком, протокольным и иным официальным мероприятием. Так:</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подарок, полученный при проведении протокольного и иного официального мероприятия, – имущество, полученное государственным должностным или приравненным к нему лицом при проведении протокольного и иного официального мероприятия от физических или юридических лиц, в том числе через иное лицо (</w:t>
      </w:r>
      <w:proofErr w:type="spellStart"/>
      <w:r>
        <w:rPr>
          <w:rFonts w:ascii="Times New Roman" w:hAnsi="Times New Roman"/>
          <w:sz w:val="30"/>
          <w:szCs w:val="30"/>
        </w:rPr>
        <w:t>абз</w:t>
      </w:r>
      <w:proofErr w:type="spellEnd"/>
      <w:r>
        <w:rPr>
          <w:rFonts w:ascii="Times New Roman" w:hAnsi="Times New Roman"/>
          <w:sz w:val="30"/>
          <w:szCs w:val="30"/>
        </w:rPr>
        <w:t>. 14 п. 1 ст. 4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протокольное и иное официальное мероприятие –  мероприятие, проведение которого предусмотрено законодательством, процедурами, правилами, регламентами, решениями госорганов и иных организаций, участие в котором связано с исполнением служебных (трудовых) обязанностей государственным должностным или приравненным к нему лицом в рамках служебной (трудовой) деятельности либо обусловлено в соответствии с законодательством выполнением государственным должностным или приравненным к нему лицом устных или письменных указаний руководителя госоргана, иной организации, в котором (которой) проходит службу (работает) государственное должностное или приравненное к нему лицо (</w:t>
      </w:r>
      <w:proofErr w:type="spellStart"/>
      <w:r>
        <w:rPr>
          <w:rFonts w:ascii="Times New Roman" w:hAnsi="Times New Roman"/>
          <w:sz w:val="30"/>
          <w:szCs w:val="30"/>
        </w:rPr>
        <w:t>абз</w:t>
      </w:r>
      <w:proofErr w:type="spellEnd"/>
      <w:r>
        <w:rPr>
          <w:rFonts w:ascii="Times New Roman" w:hAnsi="Times New Roman"/>
          <w:sz w:val="30"/>
          <w:szCs w:val="30"/>
        </w:rPr>
        <w:t>. 15               п. 1 ст. 4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Закон № 232-З предусматривает, что порядок сдачи, учета, хранения, определения стоимости и реализации имущества, в том числе подарка, предоставленного государственному должностному или приравненному к нему лицу, его супругу (супруге), близким родственникам или свойственникам, определяется Совмином (</w:t>
      </w:r>
      <w:proofErr w:type="spellStart"/>
      <w:r>
        <w:rPr>
          <w:rFonts w:ascii="Times New Roman" w:hAnsi="Times New Roman"/>
          <w:sz w:val="30"/>
          <w:szCs w:val="30"/>
        </w:rPr>
        <w:t>абз</w:t>
      </w:r>
      <w:proofErr w:type="spellEnd"/>
      <w:r>
        <w:rPr>
          <w:rFonts w:ascii="Times New Roman" w:hAnsi="Times New Roman"/>
          <w:sz w:val="30"/>
          <w:szCs w:val="30"/>
        </w:rPr>
        <w:t xml:space="preserve">. 20                п. 9 ст. 4). В настоящий момент этот порядок определен Положением о порядке сдачи, учета, хранения, оценки и реализации имущества, в том </w:t>
      </w:r>
      <w:r>
        <w:rPr>
          <w:rFonts w:ascii="Times New Roman" w:hAnsi="Times New Roman"/>
          <w:sz w:val="30"/>
          <w:szCs w:val="30"/>
        </w:rPr>
        <w:lastRenderedPageBreak/>
        <w:t>числе подарков, полученного государственным должностным или приравненным к нему лицом с нарушением порядка, установленного законодательными актами, в связи с исполнением им своих служебных (трудовых) обязанностей, утвержденного постановлением Совмина от 22.01.2016 № 45.</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Закон № 232-З предусматривает ряд дополнительных обязанностей, ограничений и запретов в сфере борьбы с коррупцией. Они касаются различных сфер деятельности и лиц. В частности, установлены:</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антикоррупционные ограничения для всех близких родственников либо свойственников государственного должностного лица. До этого установленные ограничения распространялись на близких родственников либо свойственников государственного должностного лица, совместно проживающих и ведущих общее с ним хозяйство;</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дополнительные обязательства по соблюдению антикоррупционных ограничений дополнены положениями о необходимости соблюдения порядка предотвращения и урегулирования конфликта интересов, предусмотренного ст. 21 Закона № 305-З (</w:t>
      </w:r>
      <w:proofErr w:type="spellStart"/>
      <w:r>
        <w:rPr>
          <w:rFonts w:ascii="Times New Roman" w:hAnsi="Times New Roman"/>
          <w:sz w:val="30"/>
          <w:szCs w:val="30"/>
        </w:rPr>
        <w:t>абз</w:t>
      </w:r>
      <w:proofErr w:type="spellEnd"/>
      <w:r>
        <w:rPr>
          <w:rFonts w:ascii="Times New Roman" w:hAnsi="Times New Roman"/>
          <w:sz w:val="30"/>
          <w:szCs w:val="30"/>
        </w:rPr>
        <w:t xml:space="preserve">. 2     п. 8 ст. 4 Закона № 232-З). Согласно </w:t>
      </w:r>
      <w:proofErr w:type="spellStart"/>
      <w:r>
        <w:rPr>
          <w:rFonts w:ascii="Times New Roman" w:hAnsi="Times New Roman"/>
          <w:sz w:val="30"/>
          <w:szCs w:val="30"/>
        </w:rPr>
        <w:t>абз</w:t>
      </w:r>
      <w:proofErr w:type="spellEnd"/>
      <w:r>
        <w:rPr>
          <w:rFonts w:ascii="Times New Roman" w:hAnsi="Times New Roman"/>
          <w:sz w:val="30"/>
          <w:szCs w:val="30"/>
        </w:rPr>
        <w:t>. 12 ст. 1 Закона № 305-З конфликт интересов – ситуация, при которой личные интересы государственного должностного лица, его супруга (супруги), близких родственников или свойственников влияют или могут повлиять на надлежащее исполнение государственным должностным лицом своих служебных (трудовых) обязанностей при принятии им решения или участии в принятии решения либо совершении других действий по службе (работе). Поэтому Законом № 232-З предусматривается при назначении государственных должностных лиц в обязательном порядке не только получать от них обязательства по соблюдению антикоррупционных ограничений, но и ознакомить с установленным порядком предотвращения и урегулирования конфликта интересов. За нарушения порядка предотвращения и урегулирования конфликта интересов для руководителей, как и для иных должностных лиц, устанавливается дисциплинарная ответственность вплоть до увольнения (</w:t>
      </w:r>
      <w:proofErr w:type="spellStart"/>
      <w:r>
        <w:rPr>
          <w:rFonts w:ascii="Times New Roman" w:hAnsi="Times New Roman"/>
          <w:sz w:val="30"/>
          <w:szCs w:val="30"/>
        </w:rPr>
        <w:t>абз</w:t>
      </w:r>
      <w:proofErr w:type="spellEnd"/>
      <w:r>
        <w:rPr>
          <w:rFonts w:ascii="Times New Roman" w:hAnsi="Times New Roman"/>
          <w:sz w:val="30"/>
          <w:szCs w:val="30"/>
        </w:rPr>
        <w:t>. 3 п. 31 ст. 4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запрет совместной работы супругов, близких родственников или свойственников на определенных должностях не только в госорганах и организациях, но и в организациях с преобладающей долей собственности государства, а также на использование государственным должностным лицом во внеслужебных интересах любого имущества госоргана либо организации, а не только полученного им при исполнении служебных обязанностей. При этом указанное ограничение затрагивает только узкий круг субъектов (руководитель, его </w:t>
      </w:r>
      <w:r>
        <w:rPr>
          <w:rFonts w:ascii="Times New Roman" w:hAnsi="Times New Roman"/>
          <w:sz w:val="30"/>
          <w:szCs w:val="30"/>
        </w:rPr>
        <w:lastRenderedPageBreak/>
        <w:t>заместители, главный бухгалтер, его заместители, кассир) (</w:t>
      </w:r>
      <w:proofErr w:type="spellStart"/>
      <w:r>
        <w:rPr>
          <w:rFonts w:ascii="Times New Roman" w:hAnsi="Times New Roman"/>
          <w:sz w:val="30"/>
          <w:szCs w:val="30"/>
        </w:rPr>
        <w:t>абз</w:t>
      </w:r>
      <w:proofErr w:type="spellEnd"/>
      <w:r>
        <w:rPr>
          <w:rFonts w:ascii="Times New Roman" w:hAnsi="Times New Roman"/>
          <w:sz w:val="30"/>
          <w:szCs w:val="30"/>
        </w:rPr>
        <w:t>. 2 п. 1 ст. 3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дополнительные запреты и ответственность за использование государственным должностным лицом в личных интересах предоставленного ему имущества. В настоящее время предусмотрена ответственность за незаконное использование только имущества, находящегося в государственной собственности. Теперь предусмотрено, что государственное должностное лицо не вправе «использовать в личных и иных внеслужебных интересах средства финансового, материально-технического и информационного обеспечения, другое имущество государственного органа, иной государственной организации, организации, в уставном фонде которой 50 и более процентов долей (акций) находится в собственности государства и (или) его административно-территориальных единиц, предоставленные государственному должностному лицу для исполнения служебных (трудовых) обязанностей...». Одновременно с этим Совмину предоставляется право регламентировать порядок использования служебного имущества (</w:t>
      </w:r>
      <w:proofErr w:type="spellStart"/>
      <w:r>
        <w:rPr>
          <w:rFonts w:ascii="Times New Roman" w:hAnsi="Times New Roman"/>
          <w:sz w:val="30"/>
          <w:szCs w:val="30"/>
        </w:rPr>
        <w:t>абз</w:t>
      </w:r>
      <w:proofErr w:type="spellEnd"/>
      <w:r>
        <w:rPr>
          <w:rFonts w:ascii="Times New Roman" w:hAnsi="Times New Roman"/>
          <w:sz w:val="30"/>
          <w:szCs w:val="30"/>
        </w:rPr>
        <w:t>. 7 п. 9 ст. 4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общие основания ответственности </w:t>
      </w:r>
      <w:proofErr w:type="spellStart"/>
      <w:r>
        <w:rPr>
          <w:rFonts w:ascii="Times New Roman" w:hAnsi="Times New Roman"/>
          <w:sz w:val="30"/>
          <w:szCs w:val="30"/>
        </w:rPr>
        <w:t>юрлица</w:t>
      </w:r>
      <w:proofErr w:type="spellEnd"/>
      <w:r>
        <w:rPr>
          <w:rFonts w:ascii="Times New Roman" w:hAnsi="Times New Roman"/>
          <w:sz w:val="30"/>
          <w:szCs w:val="30"/>
        </w:rPr>
        <w:t xml:space="preserve"> за нарушение требований законодательства о борьбе с коррупцией. Абзац 3 п. 28 ст. 4 Закона № 232-З предусматривает: «если физическим лицом от имени или в интересах юридического лица, в том числе иностранного, осуществлялся подкуп государственного должностного или приравненного к нему лица либо иностранного должностного лица, это юридическое лицо несет ответственность в соответствии с законодательными актами». В настоящий момент такая ответственность предусмотрена ст. 24.59 КоАП;</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дополнительные обязанности для руководителей госорганов и иных организаций по предупреждению и выявлению нарушений законодательства о борьбе с коррупцией, устранению последствий нарушений, причин и условий, им способствующих. Законом № 232-З, в частности, детализированы обязанности руководителей госорганов, иных организаций в сфере борьбы с коррупцией. Статьей 43 Закона             № 305-З предусматривается обязанность руководителей принимать в пределах своей компетенции меры по борьбе с коррупцией. При этом на руководителя налагаются обязанности по предупреждению и выявлению нарушений антикоррупционного законодательства, устранению последствий, наступивших в результате таких нарушений, причин и условий, им способствующих, и т.д. (п. 31 ст. 4 Закона № 232-З). Наряду с этим, при сохранении обязанности руководителей передавать госорганам, осуществляющим борьбу с коррупцией, информацию, связанную с фактами, свидетельствующими о коррупции, </w:t>
      </w:r>
      <w:r>
        <w:rPr>
          <w:rFonts w:ascii="Times New Roman" w:hAnsi="Times New Roman"/>
          <w:sz w:val="30"/>
          <w:szCs w:val="30"/>
        </w:rPr>
        <w:lastRenderedPageBreak/>
        <w:t>аналогичная обязанность информировать госорганы и организации Законом № 232-З вводится для самих субъектов борьбы с коррупцией. Это позволит руководителям своевременно получать информацию в отношении подчиненных и принимать меры по предупреждению правонарушений, устранению их причин и условий. В случае если коррупционные деяния совершены лицами, включенными в кадровые реестры или из состава депутатского корпуса, сведения об этом будут направляться по принадлежности реестров или в соответствующие органы представительной власти (п. 7 ст. 4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изменения в части порядка изъятия имущества, принятого в нарушение антикоррупционного законодательства. В качестве основания изъятия (взыскания) п. 30 ст. 4 Закона № 232-З устанавливает факт предоставления денежных средств или иного имущества государственному должностному или приравненному к нему лицу исключительно в результате совершения коррупционного правонарушения и (или) принятия им материальных выгод в результате совершения такого правонарушения. Общее же положение говорит о том, что «государственное должностное или приравненное к нему лицо обязано сдать незаконно принятое супругом (супругой), близкими родственниками или свойственниками имущество в финансовый орган по месту своего жительства в течение 10 дней со дня, когда государственному должностному или приравненному к нему лицу стало об этом известно, либо в течение указанного срока возместить его стоимость, а также стоимость работ, услуг, которыми незаконно воспользовались супруг (супруга), близкие родственники или свойственники, путем перечисления денежных средств в республиканский бюджет в порядке, установленном актами законодательства»;</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новые основания для ограничения назначения и выплаты пенсии лицам, совершившим противоправные деяния (ст. 1 Закона № 232-З);</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совершенствование института декларирования доходов и имущества, направленное на ликвидацию избыточных требований к этой процедуре. Так, лица, занимающие ответственное положение или поступившие на госслужбу путем избрания, будут иметь возможность указывать в декларации сведения о доходах и имуществе их несовершеннолетних детей без представления отдельной декларации (</w:t>
      </w:r>
      <w:proofErr w:type="spellStart"/>
      <w:r>
        <w:rPr>
          <w:rFonts w:ascii="Times New Roman" w:hAnsi="Times New Roman"/>
          <w:sz w:val="30"/>
          <w:szCs w:val="30"/>
        </w:rPr>
        <w:t>абз</w:t>
      </w:r>
      <w:proofErr w:type="spellEnd"/>
      <w:r>
        <w:rPr>
          <w:rFonts w:ascii="Times New Roman" w:hAnsi="Times New Roman"/>
          <w:sz w:val="30"/>
          <w:szCs w:val="30"/>
        </w:rPr>
        <w:t xml:space="preserve">. 8 п. 19 ст. 4 Закона № 232-З). Исключаются случаи представления председателями сельских, поселковых, городских Советов депутатов, их заместителями идентичных деклараций одновременно в различные организации. Закон № 305-З дополняется статьей, которая устанавливает перечень доходов и имущества, не подлежащих </w:t>
      </w:r>
      <w:r>
        <w:rPr>
          <w:rFonts w:ascii="Times New Roman" w:hAnsi="Times New Roman"/>
          <w:sz w:val="30"/>
          <w:szCs w:val="30"/>
        </w:rPr>
        <w:lastRenderedPageBreak/>
        <w:t>обязательному декларированию (п. 18 ст. 4 Закона № 232-З). К ним, в частности, относятся (</w:t>
      </w:r>
      <w:proofErr w:type="spellStart"/>
      <w:r>
        <w:rPr>
          <w:rFonts w:ascii="Times New Roman" w:hAnsi="Times New Roman"/>
          <w:sz w:val="30"/>
          <w:szCs w:val="30"/>
        </w:rPr>
        <w:t>абз</w:t>
      </w:r>
      <w:proofErr w:type="spellEnd"/>
      <w:r>
        <w:rPr>
          <w:rFonts w:ascii="Times New Roman" w:hAnsi="Times New Roman"/>
          <w:sz w:val="30"/>
          <w:szCs w:val="30"/>
        </w:rPr>
        <w:t>. 3 – 15 п. 18 ст. 4 Закона № 232-З):</w:t>
      </w:r>
    </w:p>
    <w:p w:rsidR="00706261" w:rsidRDefault="00706261" w:rsidP="00706261">
      <w:pPr>
        <w:spacing w:after="0" w:line="240" w:lineRule="auto"/>
        <w:ind w:firstLine="708"/>
        <w:jc w:val="both"/>
        <w:rPr>
          <w:rFonts w:ascii="Times New Roman" w:hAnsi="Times New Roman"/>
          <w:sz w:val="30"/>
          <w:szCs w:val="30"/>
        </w:rPr>
      </w:pPr>
      <w:proofErr w:type="gramStart"/>
      <w:r>
        <w:rPr>
          <w:rFonts w:ascii="Times New Roman" w:hAnsi="Times New Roman"/>
          <w:sz w:val="30"/>
          <w:szCs w:val="30"/>
        </w:rPr>
        <w:t>денежные</w:t>
      </w:r>
      <w:proofErr w:type="gramEnd"/>
      <w:r>
        <w:rPr>
          <w:rFonts w:ascii="Times New Roman" w:hAnsi="Times New Roman"/>
          <w:sz w:val="30"/>
          <w:szCs w:val="30"/>
        </w:rPr>
        <w:t xml:space="preserve"> средства, находящиеся в собственности лиц, представляющих декларации о доходах и имуществе, в том числе размещенные ими на счета и (или) во вклады (депозиты) в банках Республики Беларусь (включая проценты по ним), их выдача, а также перевод со счетов (вкладов) в банках других государств в банки Республики Беларусь;</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цифровые знаки (</w:t>
      </w:r>
      <w:proofErr w:type="spellStart"/>
      <w:r>
        <w:rPr>
          <w:rFonts w:ascii="Times New Roman" w:hAnsi="Times New Roman"/>
          <w:sz w:val="30"/>
          <w:szCs w:val="30"/>
        </w:rPr>
        <w:t>токены</w:t>
      </w:r>
      <w:proofErr w:type="spellEnd"/>
      <w:r>
        <w:rPr>
          <w:rFonts w:ascii="Times New Roman" w:hAnsi="Times New Roman"/>
          <w:sz w:val="30"/>
          <w:szCs w:val="30"/>
        </w:rPr>
        <w:t>);</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вознаграждения от суммы оплаты товаров (работ, услуг) с использованием банковских платежных карточек, систем дистанционного банковского обслуживания, в том числе в виде процентов;</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товары (работы, услуги), полученные (выполненные, оказанные) в рамках распространения рекламы и проведения рекламных игр, если по условиям их проведения отсутствуют сведения о получателях таких товаров (работ, услуг);</w:t>
      </w:r>
    </w:p>
    <w:p w:rsidR="00706261" w:rsidRDefault="00706261" w:rsidP="00706261">
      <w:pPr>
        <w:spacing w:after="0" w:line="240" w:lineRule="auto"/>
        <w:ind w:firstLine="708"/>
        <w:jc w:val="both"/>
        <w:rPr>
          <w:rFonts w:ascii="Times New Roman" w:hAnsi="Times New Roman"/>
          <w:sz w:val="30"/>
          <w:szCs w:val="30"/>
        </w:rPr>
      </w:pPr>
      <w:proofErr w:type="gramStart"/>
      <w:r>
        <w:rPr>
          <w:rFonts w:ascii="Times New Roman" w:hAnsi="Times New Roman"/>
          <w:sz w:val="30"/>
          <w:szCs w:val="30"/>
        </w:rPr>
        <w:t>денежные</w:t>
      </w:r>
      <w:proofErr w:type="gramEnd"/>
      <w:r>
        <w:rPr>
          <w:rFonts w:ascii="Times New Roman" w:hAnsi="Times New Roman"/>
          <w:sz w:val="30"/>
          <w:szCs w:val="30"/>
        </w:rPr>
        <w:t xml:space="preserve"> средства и (или) товары (работы, услуги), полученные (выполненные, оказанные) в рамках распространения рекламы и проведения рекламных игр, рекламных акций, сумма (стоимость) каждого из которых не превышает сорокакратного размера БВ на дату получения таких денежных средств и (или) товаров (выполнения работ, оказания услуг);</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доходы, получаемые в рамках бонусных, маркетинговых и (или) иных аналогичных программ;</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скидки с цены (тарифа) товаров (работ, услуг);</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денежные средства, выплаченные (возмещенные) при направлении нанимателем в служебную командировку, на повышение квалификации, переподготовку, профессиональную подготовку и стажировку, в том числе выплаченные (возмещенные) принимающей стороной;</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коммерческие займы;</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облигации, включая купонный или процентный доход по ним, векселя и другие ценные бумаги, находящиеся в собственности лиц, представляющих декларации о доходах и имуществе, за исключением акций на сумму, превышающую 15 000 БВ на дату приобретения;</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 xml:space="preserve">доходы в виде подарков, стоимость (сумма) каждого из которых не превышает </w:t>
      </w:r>
      <w:proofErr w:type="spellStart"/>
      <w:r>
        <w:rPr>
          <w:rFonts w:ascii="Times New Roman" w:hAnsi="Times New Roman"/>
          <w:sz w:val="30"/>
          <w:szCs w:val="30"/>
        </w:rPr>
        <w:t>двухсотпятидесятикратного</w:t>
      </w:r>
      <w:proofErr w:type="spellEnd"/>
      <w:r>
        <w:rPr>
          <w:rFonts w:ascii="Times New Roman" w:hAnsi="Times New Roman"/>
          <w:sz w:val="30"/>
          <w:szCs w:val="30"/>
        </w:rPr>
        <w:t xml:space="preserve"> размера БВ на дату получения такого подарка;</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доходы от возмездного отчуждения имущества, стоимость единицы которого не превышает сорокакратного размера БВ на дату отчуждения такого имущества.</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lastRenderedPageBreak/>
        <w:t xml:space="preserve">Борьба с коррупцией в Республике Беларусь почти всегда была одним из основных направлений внутригосударственной политики, ибо коррупция – это одно из наиболее опасных, разлагающих институты государства и гражданского общества явлений современной действительности, а противодействие ей – насущная необходимость. Проблема коррупции вызывает серьезную озабоченность и представляет собой реальную угрозу демократическому развитию эффективного государственного управления, равенства всех перед законом и социальной справедливости. Ни одна страна, независимо от ее социально-экономической и политической системы, не имеет устойчивого иммунитета к ее проявлениям. Именно поэтому известная, казалось бы, тема обретает новые проблемные аспекты, требующие законодательного, теоретического и практического решения. </w:t>
      </w:r>
    </w:p>
    <w:p w:rsidR="00706261" w:rsidRDefault="00706261" w:rsidP="00706261">
      <w:pPr>
        <w:spacing w:after="0" w:line="240" w:lineRule="auto"/>
        <w:ind w:firstLine="708"/>
        <w:jc w:val="both"/>
        <w:rPr>
          <w:rFonts w:ascii="Times New Roman" w:hAnsi="Times New Roman"/>
          <w:sz w:val="30"/>
          <w:szCs w:val="30"/>
        </w:rPr>
      </w:pPr>
      <w:r>
        <w:rPr>
          <w:rFonts w:ascii="Times New Roman" w:hAnsi="Times New Roman"/>
          <w:sz w:val="30"/>
          <w:szCs w:val="30"/>
        </w:rPr>
        <w:t>Основные п</w:t>
      </w:r>
      <w:r w:rsidR="00AD4E92">
        <w:rPr>
          <w:rFonts w:ascii="Times New Roman" w:hAnsi="Times New Roman"/>
          <w:sz w:val="30"/>
          <w:szCs w:val="30"/>
        </w:rPr>
        <w:t>оложения Закона № 232-З вступили</w:t>
      </w:r>
      <w:r>
        <w:rPr>
          <w:rFonts w:ascii="Times New Roman" w:hAnsi="Times New Roman"/>
          <w:sz w:val="30"/>
          <w:szCs w:val="30"/>
        </w:rPr>
        <w:t xml:space="preserve"> в силу с 01.03.2023.</w:t>
      </w:r>
    </w:p>
    <w:p w:rsidR="00706261" w:rsidRDefault="00706261" w:rsidP="00706261">
      <w:pPr>
        <w:pStyle w:val="2"/>
        <w:spacing w:line="280" w:lineRule="exact"/>
        <w:ind w:right="0"/>
        <w:jc w:val="right"/>
        <w:rPr>
          <w:bCs/>
          <w:i/>
          <w:sz w:val="30"/>
          <w:szCs w:val="30"/>
        </w:rPr>
      </w:pPr>
    </w:p>
    <w:p w:rsidR="00706261" w:rsidRDefault="00706261" w:rsidP="00706261">
      <w:pPr>
        <w:pStyle w:val="2"/>
        <w:spacing w:line="280" w:lineRule="exact"/>
        <w:jc w:val="right"/>
        <w:rPr>
          <w:bCs/>
          <w:i/>
          <w:sz w:val="30"/>
          <w:szCs w:val="30"/>
        </w:rPr>
      </w:pPr>
    </w:p>
    <w:p w:rsidR="00D37407" w:rsidRDefault="00D37407"/>
    <w:sectPr w:rsidR="00D37407" w:rsidSect="00A512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06261"/>
    <w:rsid w:val="00340C0E"/>
    <w:rsid w:val="00706261"/>
    <w:rsid w:val="00A512B5"/>
    <w:rsid w:val="00AD4E92"/>
    <w:rsid w:val="00AD578F"/>
    <w:rsid w:val="00D37407"/>
    <w:rsid w:val="00F208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3A4D50-4F37-4880-B672-5639608B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6261"/>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706261"/>
    <w:pPr>
      <w:spacing w:after="0" w:line="240" w:lineRule="auto"/>
      <w:ind w:right="-1" w:firstLine="851"/>
    </w:pPr>
    <w:rPr>
      <w:rFonts w:ascii="Times New Roman" w:eastAsia="Times New Roman" w:hAnsi="Times New Roman"/>
      <w:sz w:val="28"/>
      <w:szCs w:val="20"/>
      <w:lang w:eastAsia="ru-RU"/>
    </w:rPr>
  </w:style>
  <w:style w:type="character" w:customStyle="1" w:styleId="20">
    <w:name w:val="Основной текст с отступом 2 Знак"/>
    <w:basedOn w:val="a0"/>
    <w:link w:val="2"/>
    <w:semiHidden/>
    <w:rsid w:val="00706261"/>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340C0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40C0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78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2902</Words>
  <Characters>16542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Kirpicheva_GA</dc:creator>
  <cp:lastModifiedBy>Win7Ultimate_x64</cp:lastModifiedBy>
  <cp:revision>5</cp:revision>
  <cp:lastPrinted>2023-05-17T05:23:00Z</cp:lastPrinted>
  <dcterms:created xsi:type="dcterms:W3CDTF">2023-05-14T18:52:00Z</dcterms:created>
  <dcterms:modified xsi:type="dcterms:W3CDTF">2023-05-17T05:39:00Z</dcterms:modified>
</cp:coreProperties>
</file>