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9C" w:rsidRPr="008413B7" w:rsidRDefault="008E359C" w:rsidP="008E359C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8E359C" w:rsidRPr="008413B7" w:rsidRDefault="008E359C" w:rsidP="008E359C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________________________________________________________________________________</w:t>
      </w:r>
    </w:p>
    <w:p w:rsidR="008E359C" w:rsidRPr="008413B7" w:rsidRDefault="008E359C" w:rsidP="008E359C">
      <w:pPr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8E359C" w:rsidRPr="008413B7" w:rsidRDefault="008E359C" w:rsidP="008E359C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8413B7">
        <w:rPr>
          <w:sz w:val="24"/>
        </w:rPr>
        <w:br/>
        <w:t>ТР ЕАЭС 039/2016 «О требованиях к минеральным удобрениям».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2"/>
        <w:gridCol w:w="863"/>
        <w:gridCol w:w="1203"/>
        <w:gridCol w:w="796"/>
        <w:gridCol w:w="1199"/>
        <w:gridCol w:w="744"/>
        <w:gridCol w:w="1105"/>
        <w:gridCol w:w="1197"/>
        <w:gridCol w:w="1005"/>
        <w:gridCol w:w="1402"/>
      </w:tblGrid>
      <w:tr w:rsidR="008E359C" w:rsidRPr="008413B7" w:rsidTr="0010244F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завершения заполнения</w:t>
            </w:r>
          </w:p>
        </w:tc>
      </w:tr>
      <w:tr w:rsidR="008E359C" w:rsidRPr="008413B7" w:rsidTr="0010244F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</w:tr>
      <w:tr w:rsidR="008E359C" w:rsidRPr="008413B7" w:rsidTr="0010244F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</w:tr>
    </w:tbl>
    <w:p w:rsidR="008E359C" w:rsidRPr="008413B7" w:rsidRDefault="008E359C" w:rsidP="008E359C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1076"/>
        <w:gridCol w:w="1688"/>
      </w:tblGrid>
      <w:tr w:rsidR="008E359C" w:rsidRPr="008413B7" w:rsidTr="0010244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направления</w:t>
            </w:r>
          </w:p>
        </w:tc>
      </w:tr>
      <w:tr w:rsidR="008E359C" w:rsidRPr="008413B7" w:rsidTr="0010244F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ind w:right="-6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359C" w:rsidRPr="008413B7" w:rsidRDefault="008E359C" w:rsidP="0010244F">
            <w:pPr>
              <w:ind w:right="195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</w:tr>
      <w:tr w:rsidR="008E359C" w:rsidRPr="008413B7" w:rsidTr="0010244F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C" w:rsidRPr="008413B7" w:rsidRDefault="008E359C" w:rsidP="0010244F">
            <w:pPr>
              <w:jc w:val="both"/>
              <w:rPr>
                <w:sz w:val="24"/>
              </w:rPr>
            </w:pPr>
          </w:p>
        </w:tc>
      </w:tr>
    </w:tbl>
    <w:p w:rsidR="008E359C" w:rsidRPr="008413B7" w:rsidRDefault="008E359C" w:rsidP="008E359C">
      <w:pPr>
        <w:ind w:firstLine="567"/>
        <w:jc w:val="both"/>
        <w:rPr>
          <w:sz w:val="24"/>
        </w:rPr>
      </w:pPr>
      <w:r w:rsidRPr="008413B7">
        <w:rPr>
          <w:sz w:val="24"/>
        </w:rPr>
        <w:br w:type="textWrapping" w:clear="all"/>
        <w:t>Контрольный список вопросов (чек-лист)  заполняется: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8E359C" w:rsidRPr="008413B7" w:rsidRDefault="008E359C" w:rsidP="008E359C">
      <w:pPr>
        <w:pStyle w:val="a5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8E359C" w:rsidRPr="008413B7" w:rsidRDefault="008E359C" w:rsidP="008E359C">
      <w:pPr>
        <w:pStyle w:val="a5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  <w:r w:rsidRPr="008413B7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:rsidR="008E359C" w:rsidRPr="008413B7" w:rsidRDefault="008E359C" w:rsidP="008E359C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Место нахождения субъекта (объекта субъекта) </w:t>
      </w:r>
      <w:r>
        <w:rPr>
          <w:sz w:val="24"/>
        </w:rPr>
        <w:t>____________________________</w:t>
      </w:r>
    </w:p>
    <w:p w:rsidR="008E359C" w:rsidRPr="008413B7" w:rsidRDefault="008E359C" w:rsidP="008E359C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8E359C" w:rsidRPr="008413B7" w:rsidRDefault="008E359C" w:rsidP="008E359C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8E359C" w:rsidRDefault="008E359C" w:rsidP="008E359C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</w:t>
      </w:r>
      <w:r>
        <w:rPr>
          <w:sz w:val="24"/>
        </w:rPr>
        <w:t xml:space="preserve">                </w:t>
      </w:r>
      <w:r w:rsidRPr="008413B7">
        <w:rPr>
          <w:sz w:val="24"/>
        </w:rPr>
        <w:t>(адрес, телефон, факс, адрес электронной почты)</w:t>
      </w:r>
    </w:p>
    <w:p w:rsidR="008E359C" w:rsidRPr="008413B7" w:rsidRDefault="008E359C" w:rsidP="008E359C">
      <w:pPr>
        <w:ind w:firstLine="709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____________________________________________________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______, в том числе женщин __________________</w:t>
      </w:r>
    </w:p>
    <w:p w:rsidR="008E359C" w:rsidRPr="008413B7" w:rsidRDefault="008E359C" w:rsidP="008E359C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представителя (представителей) субъекта __________________________________________________</w:t>
      </w:r>
      <w:r>
        <w:rPr>
          <w:sz w:val="24"/>
        </w:rPr>
        <w:t>_____________________</w:t>
      </w:r>
    </w:p>
    <w:p w:rsidR="008E359C" w:rsidRDefault="008E359C" w:rsidP="008E359C">
      <w:pPr>
        <w:ind w:firstLine="708"/>
        <w:jc w:val="both"/>
        <w:rPr>
          <w:b/>
          <w:sz w:val="24"/>
        </w:rPr>
      </w:pPr>
    </w:p>
    <w:p w:rsidR="008E359C" w:rsidRPr="008413B7" w:rsidRDefault="008E359C" w:rsidP="008E359C">
      <w:pPr>
        <w:ind w:firstLine="708"/>
        <w:jc w:val="both"/>
        <w:rPr>
          <w:b/>
          <w:sz w:val="24"/>
        </w:rPr>
      </w:pPr>
      <w:r w:rsidRPr="008413B7">
        <w:rPr>
          <w:b/>
          <w:sz w:val="24"/>
        </w:rPr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8E359C" w:rsidRPr="00EC3193" w:rsidTr="0010244F">
        <w:trPr>
          <w:trHeight w:val="481"/>
        </w:trPr>
        <w:tc>
          <w:tcPr>
            <w:tcW w:w="513" w:type="dxa"/>
            <w:vMerge w:val="restart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п/п</w:t>
            </w:r>
          </w:p>
        </w:tc>
        <w:tc>
          <w:tcPr>
            <w:tcW w:w="2034" w:type="dxa"/>
            <w:vMerge w:val="restart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8E359C" w:rsidRPr="00EC3193" w:rsidTr="0010244F">
        <w:trPr>
          <w:cantSplit/>
          <w:trHeight w:val="1320"/>
        </w:trPr>
        <w:tc>
          <w:tcPr>
            <w:tcW w:w="513" w:type="dxa"/>
            <w:vMerge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2034" w:type="dxa"/>
            <w:vMerge/>
          </w:tcPr>
          <w:p w:rsidR="008E359C" w:rsidRPr="0072060F" w:rsidRDefault="008E359C" w:rsidP="0010244F">
            <w:pPr>
              <w:spacing w:line="240" w:lineRule="exact"/>
              <w:jc w:val="center"/>
            </w:pPr>
          </w:p>
        </w:tc>
        <w:tc>
          <w:tcPr>
            <w:tcW w:w="1953" w:type="dxa"/>
            <w:vMerge/>
          </w:tcPr>
          <w:p w:rsidR="008E359C" w:rsidRPr="0072060F" w:rsidRDefault="008E359C" w:rsidP="0010244F">
            <w:pPr>
              <w:spacing w:line="240" w:lineRule="exact"/>
              <w:jc w:val="center"/>
            </w:pP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8E359C" w:rsidRPr="0072060F" w:rsidRDefault="008E359C" w:rsidP="0010244F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8E359C" w:rsidRPr="0072060F" w:rsidRDefault="008E359C" w:rsidP="0010244F">
            <w:pPr>
              <w:spacing w:line="240" w:lineRule="exact"/>
              <w:jc w:val="center"/>
            </w:pPr>
          </w:p>
        </w:tc>
      </w:tr>
      <w:tr w:rsidR="008E359C" w:rsidRPr="00136B58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8E359C" w:rsidRPr="0072060F" w:rsidRDefault="008E359C" w:rsidP="0010244F">
            <w:pPr>
              <w:spacing w:line="240" w:lineRule="exact"/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8E359C" w:rsidRPr="0072060F" w:rsidRDefault="008E359C" w:rsidP="0010244F">
            <w:pPr>
              <w:spacing w:line="240" w:lineRule="exact"/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14</w:t>
            </w:r>
            <w:r w:rsidRPr="0072060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E359C" w:rsidRPr="00A45BD8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</w:tr>
      <w:tr w:rsidR="008E359C" w:rsidRPr="00EC3193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03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</w:tr>
      <w:tr w:rsidR="008E359C" w:rsidRPr="00A45BD8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Раздел IV, Раздел V, VII ТР ЕАЭС 039/2016</w:t>
            </w: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</w:tr>
      <w:tr w:rsidR="008E359C" w:rsidRPr="00A45BD8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п. 11 Раздела V, приложение № 2 ТР ЕАЭС 039/2016</w:t>
            </w: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</w:tr>
      <w:tr w:rsidR="008E359C" w:rsidRPr="00A45BD8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</w:tr>
      <w:tr w:rsidR="008E359C" w:rsidRPr="00A45BD8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Хранение минеральных удобрений осуществляется в соответствии с требованиями законодательства в области санитарно-эпидемиологичес-кого благополучия населения</w:t>
            </w:r>
          </w:p>
        </w:tc>
        <w:tc>
          <w:tcPr>
            <w:tcW w:w="195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</w:tr>
      <w:tr w:rsidR="008E359C" w:rsidRPr="00A45BD8" w:rsidTr="0010244F">
        <w:tc>
          <w:tcPr>
            <w:tcW w:w="51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1.7</w:t>
            </w:r>
          </w:p>
        </w:tc>
        <w:tc>
          <w:tcPr>
            <w:tcW w:w="203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пп. 15-20 </w:t>
            </w:r>
          </w:p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8E359C" w:rsidRPr="0072060F" w:rsidRDefault="008E359C" w:rsidP="0010244F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ТР ЕАЭС 039/2016;</w:t>
            </w:r>
          </w:p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E359C" w:rsidRPr="0072060F" w:rsidRDefault="008E359C" w:rsidP="0010244F">
            <w:pPr>
              <w:spacing w:line="240" w:lineRule="exact"/>
              <w:jc w:val="both"/>
            </w:pPr>
          </w:p>
        </w:tc>
      </w:tr>
      <w:tr w:rsidR="008E359C" w:rsidRPr="00136B58" w:rsidTr="0010244F">
        <w:tc>
          <w:tcPr>
            <w:tcW w:w="9854" w:type="dxa"/>
            <w:gridSpan w:val="8"/>
          </w:tcPr>
          <w:p w:rsidR="008E359C" w:rsidRPr="0072060F" w:rsidRDefault="008E359C" w:rsidP="0010244F">
            <w:pPr>
              <w:spacing w:line="240" w:lineRule="exact"/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8E359C" w:rsidRPr="008413B7" w:rsidRDefault="008E359C" w:rsidP="008E359C">
      <w:pPr>
        <w:ind w:firstLine="680"/>
        <w:jc w:val="both"/>
        <w:rPr>
          <w:sz w:val="24"/>
        </w:rPr>
      </w:pPr>
      <w:r>
        <w:rPr>
          <w:sz w:val="24"/>
        </w:rPr>
        <w:t>К</w:t>
      </w:r>
      <w:r w:rsidRPr="008413B7">
        <w:rPr>
          <w:sz w:val="24"/>
        </w:rPr>
        <w:t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8E359C" w:rsidRPr="008413B7" w:rsidRDefault="008E359C" w:rsidP="008E359C">
      <w:pPr>
        <w:ind w:firstLine="680"/>
        <w:jc w:val="both"/>
        <w:rPr>
          <w:sz w:val="24"/>
        </w:rPr>
      </w:pPr>
      <w:r w:rsidRPr="008413B7">
        <w:rPr>
          <w:sz w:val="24"/>
        </w:rPr>
        <w:t>1. ТР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8E359C" w:rsidRPr="004F2A63" w:rsidRDefault="008E359C" w:rsidP="008E359C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8E359C" w:rsidRPr="008413B7" w:rsidRDefault="008E359C" w:rsidP="008E359C">
      <w:pPr>
        <w:spacing w:line="240" w:lineRule="exact"/>
        <w:ind w:left="4956" w:hanging="5098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 инициалы, фамилия, должность представителя проверяемого субъекта</w:t>
      </w:r>
    </w:p>
    <w:p w:rsidR="008E359C" w:rsidRPr="008413B7" w:rsidRDefault="008E359C" w:rsidP="008E359C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E359C" w:rsidRDefault="008E359C" w:rsidP="008E359C">
      <w:pPr>
        <w:spacing w:line="240" w:lineRule="exact"/>
        <w:jc w:val="both"/>
        <w:rPr>
          <w:sz w:val="24"/>
        </w:rPr>
      </w:pPr>
    </w:p>
    <w:p w:rsidR="008E359C" w:rsidRPr="008413B7" w:rsidRDefault="008E359C" w:rsidP="008E359C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 xml:space="preserve">_____________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8E359C" w:rsidRPr="008413B7" w:rsidRDefault="008E359C" w:rsidP="008E359C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8E359C" w:rsidRPr="008413B7" w:rsidRDefault="008E359C" w:rsidP="008E359C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E359C" w:rsidRPr="004F2A63" w:rsidRDefault="008E359C" w:rsidP="008E359C">
      <w:pPr>
        <w:pStyle w:val="a3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 xml:space="preserve">&lt;*&gt; 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8E359C" w:rsidRPr="004F2A63" w:rsidRDefault="008E359C" w:rsidP="008E359C">
      <w:pPr>
        <w:pStyle w:val="a3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8E359C" w:rsidRPr="004F2A63" w:rsidRDefault="008E359C" w:rsidP="008E359C">
      <w:pPr>
        <w:pStyle w:val="a3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8E359C" w:rsidRPr="004F2A63" w:rsidRDefault="008E359C" w:rsidP="008E359C">
      <w:pPr>
        <w:pStyle w:val="a3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8E359C" w:rsidRPr="004F2A63" w:rsidRDefault="008E359C" w:rsidP="008E359C">
      <w:pPr>
        <w:pStyle w:val="a3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8E359C" w:rsidRDefault="008E359C" w:rsidP="008E359C">
      <w:pPr>
        <w:pStyle w:val="a3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8E359C" w:rsidRPr="008413B7" w:rsidRDefault="008E359C" w:rsidP="008E359C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8E359C" w:rsidRPr="008413B7" w:rsidRDefault="008E359C" w:rsidP="008E359C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8E359C" w:rsidRPr="008413B7" w:rsidRDefault="008E359C" w:rsidP="008E359C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8E359C" w:rsidRPr="008413B7" w:rsidRDefault="008E359C" w:rsidP="008E359C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8E359C" w:rsidRPr="008413B7" w:rsidRDefault="008E359C" w:rsidP="008E359C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8E359C" w:rsidRPr="008413B7" w:rsidRDefault="008E359C" w:rsidP="008E359C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8E359C" w:rsidRPr="00B41979" w:rsidRDefault="008E359C" w:rsidP="008E359C">
      <w:pPr>
        <w:pStyle w:val="a3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8E359C" w:rsidRPr="008413B7" w:rsidTr="0010244F">
        <w:trPr>
          <w:trHeight w:val="1476"/>
        </w:trPr>
        <w:tc>
          <w:tcPr>
            <w:tcW w:w="534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Наименование санитарно-гигиенического показателя, его доля в определении санэпидблагополучия</w:t>
            </w:r>
          </w:p>
        </w:tc>
        <w:tc>
          <w:tcPr>
            <w:tcW w:w="993" w:type="dxa"/>
          </w:tcPr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Факти</w:t>
            </w:r>
          </w:p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ческое коли</w:t>
            </w:r>
          </w:p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744" w:type="dxa"/>
          </w:tcPr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наков</w:t>
            </w:r>
          </w:p>
        </w:tc>
        <w:tc>
          <w:tcPr>
            <w:tcW w:w="1134" w:type="dxa"/>
          </w:tcPr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мальное коли</w:t>
            </w:r>
          </w:p>
          <w:p w:rsidR="008E359C" w:rsidRPr="008413B7" w:rsidRDefault="008E359C" w:rsidP="0010244F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1559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ный риск – менее …</w:t>
            </w:r>
          </w:p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8E359C" w:rsidRPr="008413B7" w:rsidTr="0010244F">
        <w:trPr>
          <w:trHeight w:val="231"/>
        </w:trPr>
        <w:tc>
          <w:tcPr>
            <w:tcW w:w="534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14 - 13</w:t>
            </w:r>
          </w:p>
        </w:tc>
        <w:tc>
          <w:tcPr>
            <w:tcW w:w="1276" w:type="dxa"/>
          </w:tcPr>
          <w:p w:rsidR="008E359C" w:rsidRPr="008413B7" w:rsidRDefault="008E359C" w:rsidP="0010244F">
            <w:pPr>
              <w:pStyle w:val="a3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12 - 10</w:t>
            </w:r>
          </w:p>
        </w:tc>
        <w:tc>
          <w:tcPr>
            <w:tcW w:w="1134" w:type="dxa"/>
          </w:tcPr>
          <w:p w:rsidR="008E359C" w:rsidRPr="008413B7" w:rsidRDefault="008E359C" w:rsidP="0010244F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9 </w:t>
            </w:r>
            <w:r>
              <w:rPr>
                <w:sz w:val="24"/>
              </w:rPr>
              <w:t xml:space="preserve">и </w:t>
            </w:r>
            <w:r w:rsidRPr="008413B7">
              <w:rPr>
                <w:sz w:val="24"/>
              </w:rPr>
              <w:t>менее</w:t>
            </w:r>
          </w:p>
        </w:tc>
      </w:tr>
    </w:tbl>
    <w:p w:rsidR="008E359C" w:rsidRPr="00156E07" w:rsidRDefault="008E359C" w:rsidP="008E359C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>Итоговая оценка _________________________________________________________</w:t>
      </w:r>
    </w:p>
    <w:p w:rsidR="005B78CE" w:rsidRDefault="008E359C" w:rsidP="008E359C">
      <w:pPr>
        <w:ind w:firstLine="708"/>
        <w:jc w:val="both"/>
      </w:pPr>
      <w:r w:rsidRPr="00156E07">
        <w:rPr>
          <w:bCs/>
          <w:sz w:val="24"/>
        </w:rPr>
        <w:t>(риск не выражен или выражен слабо / средняя степень риска / выраженный риск)</w:t>
      </w:r>
      <w:bookmarkStart w:id="0" w:name="_GoBack"/>
      <w:bookmarkEnd w:id="0"/>
    </w:p>
    <w:sectPr w:rsidR="005B78CE" w:rsidSect="008E3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8"/>
    <w:rsid w:val="005B78CE"/>
    <w:rsid w:val="006D0975"/>
    <w:rsid w:val="008E359C"/>
    <w:rsid w:val="00B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CCB3-90DA-48C5-BAB0-190D95EC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9C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359C"/>
    <w:pPr>
      <w:spacing w:line="360" w:lineRule="auto"/>
      <w:ind w:firstLine="113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3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8E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2022-10-13T13:03:00Z</dcterms:created>
  <dcterms:modified xsi:type="dcterms:W3CDTF">2022-10-13T13:04:00Z</dcterms:modified>
</cp:coreProperties>
</file>